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5487E" w14:textId="77777777" w:rsidR="000B7B76" w:rsidRDefault="005F572A">
      <w:pPr>
        <w:spacing w:after="0" w:line="240" w:lineRule="auto"/>
        <w:ind w:hanging="2"/>
        <w:jc w:val="both"/>
        <w:rPr>
          <w:sz w:val="24"/>
          <w:szCs w:val="24"/>
        </w:rPr>
      </w:pPr>
      <w:bookmarkStart w:id="0" w:name="gjdgxs" w:colFirst="0" w:colLast="0"/>
      <w:bookmarkEnd w:id="0"/>
      <w:r>
        <w:rPr>
          <w:sz w:val="24"/>
          <w:szCs w:val="24"/>
        </w:rPr>
        <w:t>Paziņojums par līdzdalības iespējām attīstības plānošanas dokumenta vai tiesību akta izstrādes procesā</w:t>
      </w:r>
    </w:p>
    <w:p w14:paraId="062AD049" w14:textId="77777777" w:rsidR="000B7B76" w:rsidRDefault="000B7B76">
      <w:pPr>
        <w:spacing w:after="0" w:line="240" w:lineRule="auto"/>
        <w:ind w:hanging="2"/>
        <w:jc w:val="both"/>
        <w:rPr>
          <w:sz w:val="24"/>
          <w:szCs w:val="24"/>
        </w:rPr>
      </w:pPr>
    </w:p>
    <w:p w14:paraId="33853113" w14:textId="77777777" w:rsidR="000B7B76" w:rsidRDefault="005F572A">
      <w:pPr>
        <w:spacing w:after="0" w:line="240" w:lineRule="auto"/>
        <w:ind w:hanging="2"/>
        <w:jc w:val="both"/>
        <w:rPr>
          <w:sz w:val="24"/>
          <w:szCs w:val="24"/>
        </w:rPr>
      </w:pPr>
      <w:r>
        <w:rPr>
          <w:i/>
          <w:sz w:val="24"/>
          <w:szCs w:val="24"/>
        </w:rPr>
        <w:t xml:space="preserve">(Pielikums MK </w:t>
      </w:r>
      <w:hyperlink r:id="rId5">
        <w:r>
          <w:rPr>
            <w:i/>
            <w:color w:val="0000FF"/>
            <w:sz w:val="24"/>
            <w:szCs w:val="24"/>
            <w:u w:val="single"/>
          </w:rPr>
          <w:t>30.04.2013</w:t>
        </w:r>
      </w:hyperlink>
      <w:r>
        <w:rPr>
          <w:i/>
          <w:sz w:val="24"/>
          <w:szCs w:val="24"/>
        </w:rPr>
        <w:t>. noteikumu Nr.237 redakcijā)</w:t>
      </w:r>
    </w:p>
    <w:tbl>
      <w:tblPr>
        <w:tblStyle w:val="a"/>
        <w:tblW w:w="8366" w:type="dxa"/>
        <w:tblLayout w:type="fixed"/>
        <w:tblLook w:val="0000" w:firstRow="0" w:lastRow="0" w:firstColumn="0" w:lastColumn="0" w:noHBand="0" w:noVBand="0"/>
      </w:tblPr>
      <w:tblGrid>
        <w:gridCol w:w="498"/>
        <w:gridCol w:w="1681"/>
        <w:gridCol w:w="6187"/>
      </w:tblGrid>
      <w:tr w:rsidR="000B7B76" w14:paraId="709A2ABA" w14:textId="77777777">
        <w:trPr>
          <w:trHeight w:val="100"/>
        </w:trPr>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7B8745B" w14:textId="77777777" w:rsidR="000B7B76" w:rsidRDefault="005F572A">
            <w:pPr>
              <w:spacing w:after="0" w:line="240" w:lineRule="auto"/>
              <w:ind w:hanging="2"/>
              <w:jc w:val="both"/>
              <w:rPr>
                <w:sz w:val="24"/>
                <w:szCs w:val="24"/>
              </w:rPr>
            </w:pPr>
            <w:r>
              <w:rPr>
                <w:sz w:val="24"/>
                <w:szCs w:val="24"/>
              </w:rPr>
              <w:t>1.</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A54815B" w14:textId="77777777" w:rsidR="000B7B76" w:rsidRDefault="005F572A">
            <w:pPr>
              <w:spacing w:after="0" w:line="240" w:lineRule="auto"/>
              <w:ind w:hanging="2"/>
              <w:jc w:val="both"/>
              <w:rPr>
                <w:sz w:val="24"/>
                <w:szCs w:val="24"/>
              </w:rPr>
            </w:pPr>
            <w:r>
              <w:rPr>
                <w:sz w:val="24"/>
                <w:szCs w:val="24"/>
              </w:rPr>
              <w:t>Dokumenta veids</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6F33FAC" w14:textId="77777777" w:rsidR="000B7B76" w:rsidRDefault="005F572A">
            <w:pPr>
              <w:tabs>
                <w:tab w:val="center" w:pos="4153"/>
                <w:tab w:val="right" w:pos="8306"/>
              </w:tabs>
              <w:spacing w:after="0" w:line="240" w:lineRule="auto"/>
              <w:ind w:hanging="2"/>
              <w:jc w:val="both"/>
              <w:rPr>
                <w:sz w:val="24"/>
                <w:szCs w:val="24"/>
              </w:rPr>
            </w:pPr>
            <w:r>
              <w:rPr>
                <w:sz w:val="24"/>
                <w:szCs w:val="24"/>
              </w:rPr>
              <w:t>Ministru kabineta noteikumu projekts</w:t>
            </w:r>
          </w:p>
          <w:p w14:paraId="2CDE8B7E" w14:textId="77777777" w:rsidR="000B7B76" w:rsidRDefault="000B7B76">
            <w:pPr>
              <w:spacing w:after="0" w:line="240" w:lineRule="auto"/>
              <w:ind w:hanging="2"/>
              <w:jc w:val="both"/>
              <w:rPr>
                <w:sz w:val="24"/>
                <w:szCs w:val="24"/>
              </w:rPr>
            </w:pPr>
          </w:p>
        </w:tc>
      </w:tr>
      <w:tr w:rsidR="000B7B76" w14:paraId="554DCD6D"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6566061F" w14:textId="77777777" w:rsidR="000B7B76" w:rsidRDefault="005F572A">
            <w:pPr>
              <w:spacing w:after="0" w:line="240" w:lineRule="auto"/>
              <w:ind w:hanging="2"/>
              <w:jc w:val="both"/>
              <w:rPr>
                <w:sz w:val="24"/>
                <w:szCs w:val="24"/>
              </w:rPr>
            </w:pPr>
            <w:r>
              <w:rPr>
                <w:sz w:val="24"/>
                <w:szCs w:val="24"/>
              </w:rPr>
              <w:t>2.</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605CA7A" w14:textId="77777777" w:rsidR="000B7B76" w:rsidRDefault="005F572A">
            <w:pPr>
              <w:spacing w:after="0" w:line="240" w:lineRule="auto"/>
              <w:ind w:hanging="2"/>
              <w:jc w:val="both"/>
              <w:rPr>
                <w:sz w:val="24"/>
                <w:szCs w:val="24"/>
              </w:rPr>
            </w:pPr>
            <w:r>
              <w:rPr>
                <w:sz w:val="24"/>
                <w:szCs w:val="24"/>
              </w:rPr>
              <w:t>Dokumenta nosaukums</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77355D6B" w14:textId="1ED21965" w:rsidR="000B7B76" w:rsidRDefault="00B4657A">
            <w:pPr>
              <w:spacing w:after="0" w:line="240" w:lineRule="auto"/>
              <w:ind w:hanging="2"/>
              <w:jc w:val="both"/>
              <w:rPr>
                <w:sz w:val="24"/>
                <w:szCs w:val="24"/>
              </w:rPr>
            </w:pPr>
            <w:r w:rsidRPr="00B4657A">
              <w:rPr>
                <w:sz w:val="24"/>
                <w:szCs w:val="24"/>
              </w:rPr>
              <w:t xml:space="preserve">Grozījumi Ministru kabineta 2006.gada 24.janvāra noteikumos Nr.80 „Noteikumi par kuģu apkalpes minimālo sastāvu” </w:t>
            </w:r>
            <w:r w:rsidR="005F572A">
              <w:rPr>
                <w:sz w:val="24"/>
                <w:szCs w:val="24"/>
              </w:rPr>
              <w:t>(turpmāk – noteikumu projekts)</w:t>
            </w:r>
          </w:p>
        </w:tc>
      </w:tr>
      <w:tr w:rsidR="000B7B76" w14:paraId="109A9C8A"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24CEBCAB" w14:textId="77777777" w:rsidR="000B7B76" w:rsidRDefault="005F572A">
            <w:pPr>
              <w:spacing w:after="0" w:line="240" w:lineRule="auto"/>
              <w:ind w:hanging="2"/>
              <w:jc w:val="both"/>
              <w:rPr>
                <w:sz w:val="24"/>
                <w:szCs w:val="24"/>
              </w:rPr>
            </w:pPr>
            <w:r>
              <w:rPr>
                <w:sz w:val="24"/>
                <w:szCs w:val="24"/>
              </w:rPr>
              <w:t>3.</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2A28BF71" w14:textId="77777777" w:rsidR="000B7B76" w:rsidRDefault="005F572A">
            <w:pPr>
              <w:spacing w:after="0" w:line="240" w:lineRule="auto"/>
              <w:ind w:hanging="2"/>
              <w:jc w:val="both"/>
              <w:rPr>
                <w:sz w:val="24"/>
                <w:szCs w:val="24"/>
              </w:rPr>
            </w:pPr>
            <w:r>
              <w:rPr>
                <w:sz w:val="24"/>
                <w:szCs w:val="24"/>
              </w:rPr>
              <w:t>Politikas joma un nozare vai teritorija</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78452B4A" w14:textId="77777777" w:rsidR="000B7B76" w:rsidRDefault="005F572A">
            <w:pPr>
              <w:spacing w:after="0" w:line="240" w:lineRule="auto"/>
              <w:ind w:hanging="2"/>
              <w:jc w:val="both"/>
              <w:rPr>
                <w:sz w:val="24"/>
                <w:szCs w:val="24"/>
              </w:rPr>
            </w:pPr>
            <w:r>
              <w:rPr>
                <w:sz w:val="24"/>
                <w:szCs w:val="24"/>
              </w:rPr>
              <w:t>Transporta un sakaru politika.</w:t>
            </w:r>
          </w:p>
        </w:tc>
      </w:tr>
      <w:tr w:rsidR="000B7B76" w14:paraId="7DFF904F"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67407EB" w14:textId="77777777" w:rsidR="000B7B76" w:rsidRDefault="005F572A">
            <w:pPr>
              <w:spacing w:after="0" w:line="240" w:lineRule="auto"/>
              <w:ind w:hanging="2"/>
              <w:jc w:val="both"/>
              <w:rPr>
                <w:sz w:val="24"/>
                <w:szCs w:val="24"/>
              </w:rPr>
            </w:pPr>
            <w:r>
              <w:rPr>
                <w:sz w:val="24"/>
                <w:szCs w:val="24"/>
              </w:rPr>
              <w:t>4.</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7C60752B" w14:textId="77777777" w:rsidR="000B7B76" w:rsidRDefault="005F572A">
            <w:pPr>
              <w:spacing w:after="0" w:line="240" w:lineRule="auto"/>
              <w:ind w:hanging="2"/>
              <w:jc w:val="both"/>
              <w:rPr>
                <w:sz w:val="24"/>
                <w:szCs w:val="24"/>
              </w:rPr>
            </w:pPr>
            <w:r>
              <w:rPr>
                <w:sz w:val="24"/>
                <w:szCs w:val="24"/>
              </w:rPr>
              <w:t>Dokumenta mērķgrupas</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B7BF8AC" w14:textId="33E06C04" w:rsidR="000B7B76" w:rsidRDefault="00B4657A" w:rsidP="005F572A">
            <w:pPr>
              <w:spacing w:after="0" w:line="240" w:lineRule="auto"/>
              <w:ind w:hanging="2"/>
              <w:jc w:val="both"/>
              <w:rPr>
                <w:sz w:val="24"/>
                <w:szCs w:val="24"/>
              </w:rPr>
            </w:pPr>
            <w:r>
              <w:rPr>
                <w:sz w:val="24"/>
                <w:szCs w:val="24"/>
              </w:rPr>
              <w:t>Noteikumu p</w:t>
            </w:r>
            <w:r w:rsidRPr="00B4657A">
              <w:rPr>
                <w:sz w:val="24"/>
                <w:szCs w:val="24"/>
              </w:rPr>
              <w:t>rojekta tiesiskais regulējums ietekmē vai varētu ietekmēt Latvijas Kuģu reģistrā reģistrētu kuģu īpašniekus (uz 2020.gada 1.jūliju Latvijas Kuģu reģistrā ir reģistrēti 348 kuģi, to skaitā, kravas un pasažieru kuģi ar bruto tilpību vienādu vai lielāku par 500 – 29 kuģi).</w:t>
            </w:r>
          </w:p>
        </w:tc>
      </w:tr>
      <w:tr w:rsidR="000B7B76" w14:paraId="2490FDCF"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0501EE2" w14:textId="77777777" w:rsidR="000B7B76" w:rsidRDefault="005F572A">
            <w:pPr>
              <w:spacing w:after="0" w:line="240" w:lineRule="auto"/>
              <w:ind w:hanging="2"/>
              <w:jc w:val="both"/>
              <w:rPr>
                <w:sz w:val="24"/>
                <w:szCs w:val="24"/>
              </w:rPr>
            </w:pPr>
            <w:r>
              <w:rPr>
                <w:sz w:val="24"/>
                <w:szCs w:val="24"/>
              </w:rPr>
              <w:t>5.</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2CBDAB6E" w14:textId="77777777" w:rsidR="000B7B76" w:rsidRDefault="005F572A">
            <w:pPr>
              <w:spacing w:after="0" w:line="240" w:lineRule="auto"/>
              <w:ind w:hanging="2"/>
              <w:jc w:val="both"/>
              <w:rPr>
                <w:sz w:val="24"/>
                <w:szCs w:val="24"/>
              </w:rPr>
            </w:pPr>
            <w:r>
              <w:rPr>
                <w:sz w:val="24"/>
                <w:szCs w:val="24"/>
              </w:rPr>
              <w:t>Dokumenta mērķis un sākotnēji identificētās problēmas būtība</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6C80CDA6" w14:textId="7E082EBF" w:rsidR="00B4657A" w:rsidRPr="00B4657A" w:rsidRDefault="00B4657A" w:rsidP="00B4657A">
            <w:pPr>
              <w:spacing w:after="0" w:line="240" w:lineRule="auto"/>
              <w:ind w:hanging="2"/>
              <w:jc w:val="both"/>
              <w:rPr>
                <w:sz w:val="24"/>
                <w:szCs w:val="24"/>
              </w:rPr>
            </w:pPr>
            <w:r>
              <w:rPr>
                <w:sz w:val="24"/>
                <w:szCs w:val="24"/>
              </w:rPr>
              <w:t>Noteikumu p</w:t>
            </w:r>
            <w:r w:rsidRPr="00B4657A">
              <w:rPr>
                <w:sz w:val="24"/>
                <w:szCs w:val="24"/>
              </w:rPr>
              <w:t>rojekts ir izstrādāts, lai precizētu:</w:t>
            </w:r>
          </w:p>
          <w:p w14:paraId="245E4A26" w14:textId="77777777" w:rsidR="00B4657A" w:rsidRPr="00B4657A" w:rsidRDefault="00B4657A" w:rsidP="00B4657A">
            <w:pPr>
              <w:numPr>
                <w:ilvl w:val="0"/>
                <w:numId w:val="1"/>
              </w:numPr>
              <w:spacing w:after="0" w:line="240" w:lineRule="auto"/>
              <w:ind w:left="-1" w:hanging="2"/>
              <w:jc w:val="both"/>
              <w:rPr>
                <w:sz w:val="24"/>
                <w:szCs w:val="24"/>
              </w:rPr>
            </w:pPr>
            <w:r w:rsidRPr="00B4657A">
              <w:rPr>
                <w:sz w:val="24"/>
                <w:szCs w:val="24"/>
              </w:rPr>
              <w:t>tiesību normas atbilstoši praksē konstatētajām problēmām;</w:t>
            </w:r>
          </w:p>
          <w:p w14:paraId="504F5C8F" w14:textId="276329A2" w:rsidR="00B4657A" w:rsidRPr="00B4657A" w:rsidRDefault="00B4657A" w:rsidP="00B4657A">
            <w:pPr>
              <w:numPr>
                <w:ilvl w:val="0"/>
                <w:numId w:val="1"/>
              </w:numPr>
              <w:spacing w:after="0" w:line="240" w:lineRule="auto"/>
              <w:ind w:left="-1" w:hanging="2"/>
              <w:jc w:val="both"/>
              <w:rPr>
                <w:b/>
                <w:bCs/>
                <w:sz w:val="24"/>
                <w:szCs w:val="24"/>
              </w:rPr>
            </w:pPr>
            <w:r w:rsidRPr="00B4657A">
              <w:rPr>
                <w:sz w:val="24"/>
                <w:szCs w:val="24"/>
              </w:rPr>
              <w:t>starptautiskos reisos iesaistīto</w:t>
            </w:r>
            <w:r>
              <w:rPr>
                <w:sz w:val="24"/>
                <w:szCs w:val="24"/>
              </w:rPr>
              <w:t xml:space="preserve"> kuģu</w:t>
            </w:r>
            <w:r w:rsidRPr="00B4657A">
              <w:rPr>
                <w:sz w:val="24"/>
                <w:szCs w:val="24"/>
              </w:rPr>
              <w:t>, zvejas</w:t>
            </w:r>
            <w:r>
              <w:rPr>
                <w:sz w:val="24"/>
                <w:szCs w:val="24"/>
              </w:rPr>
              <w:t xml:space="preserve"> kuģu</w:t>
            </w:r>
            <w:r w:rsidRPr="00B4657A">
              <w:rPr>
                <w:sz w:val="24"/>
                <w:szCs w:val="24"/>
              </w:rPr>
              <w:t>, kabotāžas</w:t>
            </w:r>
            <w:r>
              <w:rPr>
                <w:sz w:val="24"/>
                <w:szCs w:val="24"/>
              </w:rPr>
              <w:t xml:space="preserve"> kuģu</w:t>
            </w:r>
            <w:r w:rsidRPr="00B4657A">
              <w:rPr>
                <w:sz w:val="24"/>
                <w:szCs w:val="24"/>
              </w:rPr>
              <w:t xml:space="preserve"> un iekšējo ūdeņu kuģu apkalpes minimālā sastāva normas atbilstoši Ministru kabineta 2018.gada 21.novembra noteikumiem Nr.711 “Grozījumi Ministru kabineta </w:t>
            </w:r>
            <w:r w:rsidRPr="00B4657A">
              <w:rPr>
                <w:bCs/>
                <w:sz w:val="24"/>
                <w:szCs w:val="24"/>
              </w:rPr>
              <w:t>2005.gada 22.novembra noteikumos Nr.895 "Jūrnieku sertificēšanas noteikumi</w:t>
            </w:r>
            <w:r>
              <w:rPr>
                <w:bCs/>
                <w:sz w:val="24"/>
                <w:szCs w:val="24"/>
              </w:rPr>
              <w:t>””</w:t>
            </w:r>
            <w:r w:rsidRPr="00B4657A">
              <w:rPr>
                <w:b/>
                <w:bCs/>
                <w:sz w:val="24"/>
                <w:szCs w:val="24"/>
              </w:rPr>
              <w:t xml:space="preserve"> </w:t>
            </w:r>
            <w:r w:rsidRPr="00B4657A">
              <w:rPr>
                <w:bCs/>
                <w:sz w:val="24"/>
                <w:szCs w:val="24"/>
              </w:rPr>
              <w:t>(</w:t>
            </w:r>
            <w:r>
              <w:rPr>
                <w:bCs/>
                <w:sz w:val="24"/>
                <w:szCs w:val="24"/>
              </w:rPr>
              <w:t xml:space="preserve">Ministru kabineta </w:t>
            </w:r>
            <w:r w:rsidRPr="00B4657A">
              <w:rPr>
                <w:bCs/>
                <w:sz w:val="24"/>
                <w:szCs w:val="24"/>
              </w:rPr>
              <w:t>2006.gada 24.janvāra noteikum</w:t>
            </w:r>
            <w:r>
              <w:rPr>
                <w:bCs/>
                <w:sz w:val="24"/>
                <w:szCs w:val="24"/>
              </w:rPr>
              <w:t>u</w:t>
            </w:r>
            <w:r w:rsidRPr="00B4657A">
              <w:rPr>
                <w:bCs/>
                <w:sz w:val="24"/>
                <w:szCs w:val="24"/>
              </w:rPr>
              <w:t xml:space="preserve"> Nr.80 „Noteikumi par kuģu apkalpes minimālo sastāvu”</w:t>
            </w:r>
            <w:r>
              <w:rPr>
                <w:bCs/>
                <w:sz w:val="24"/>
                <w:szCs w:val="24"/>
              </w:rPr>
              <w:t xml:space="preserve"> (turpmāk – Noteikumi </w:t>
            </w:r>
            <w:r w:rsidRPr="00B4657A">
              <w:rPr>
                <w:bCs/>
                <w:sz w:val="24"/>
                <w:szCs w:val="24"/>
              </w:rPr>
              <w:t>Nr.80</w:t>
            </w:r>
            <w:r>
              <w:rPr>
                <w:bCs/>
                <w:sz w:val="24"/>
                <w:szCs w:val="24"/>
              </w:rPr>
              <w:t>)</w:t>
            </w:r>
            <w:r w:rsidRPr="00B4657A">
              <w:rPr>
                <w:bCs/>
                <w:sz w:val="24"/>
                <w:szCs w:val="24"/>
              </w:rPr>
              <w:t xml:space="preserve"> 1. un 2.pielikums);</w:t>
            </w:r>
          </w:p>
          <w:p w14:paraId="0F9EC21A" w14:textId="77777777" w:rsidR="00B4657A" w:rsidRPr="00B4657A" w:rsidRDefault="00B4657A" w:rsidP="00B4657A">
            <w:pPr>
              <w:numPr>
                <w:ilvl w:val="0"/>
                <w:numId w:val="1"/>
              </w:numPr>
              <w:spacing w:after="0" w:line="240" w:lineRule="auto"/>
              <w:ind w:left="-1" w:hanging="2"/>
              <w:jc w:val="both"/>
              <w:rPr>
                <w:sz w:val="24"/>
                <w:szCs w:val="24"/>
              </w:rPr>
            </w:pPr>
            <w:r w:rsidRPr="00B4657A">
              <w:rPr>
                <w:sz w:val="24"/>
                <w:szCs w:val="24"/>
              </w:rPr>
              <w:t>Noteikumu Nr.80 3.pielikumu (apliecība par kuģa apkalpes minimālo sastāvu);</w:t>
            </w:r>
          </w:p>
          <w:p w14:paraId="5889255A" w14:textId="77777777" w:rsidR="00B4657A" w:rsidRPr="00B4657A" w:rsidRDefault="00B4657A" w:rsidP="00B4657A">
            <w:pPr>
              <w:numPr>
                <w:ilvl w:val="0"/>
                <w:numId w:val="1"/>
              </w:numPr>
              <w:spacing w:after="0" w:line="240" w:lineRule="auto"/>
              <w:ind w:left="-1" w:hanging="2"/>
              <w:jc w:val="both"/>
              <w:rPr>
                <w:sz w:val="24"/>
                <w:szCs w:val="24"/>
              </w:rPr>
            </w:pPr>
            <w:r w:rsidRPr="00B4657A">
              <w:rPr>
                <w:sz w:val="24"/>
                <w:szCs w:val="24"/>
              </w:rPr>
              <w:t>Noteikumu Nr.80 4.pielikumu (iesniegums apliecības par kuģa apkalpes minimālo sastāvu saņemšanai).</w:t>
            </w:r>
          </w:p>
          <w:p w14:paraId="09A1F06B" w14:textId="17888C73" w:rsidR="000B7B76" w:rsidRDefault="000B7B76" w:rsidP="005F572A">
            <w:pPr>
              <w:spacing w:after="0" w:line="240" w:lineRule="auto"/>
              <w:ind w:hanging="2"/>
              <w:jc w:val="both"/>
              <w:rPr>
                <w:sz w:val="24"/>
                <w:szCs w:val="24"/>
              </w:rPr>
            </w:pPr>
          </w:p>
        </w:tc>
      </w:tr>
      <w:tr w:rsidR="000B7B76" w14:paraId="61C11768"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6965A5DE" w14:textId="77777777" w:rsidR="000B7B76" w:rsidRDefault="005F572A">
            <w:pPr>
              <w:spacing w:after="0" w:line="240" w:lineRule="auto"/>
              <w:ind w:hanging="2"/>
              <w:jc w:val="both"/>
              <w:rPr>
                <w:sz w:val="24"/>
                <w:szCs w:val="24"/>
              </w:rPr>
            </w:pPr>
            <w:r>
              <w:rPr>
                <w:sz w:val="24"/>
                <w:szCs w:val="24"/>
              </w:rPr>
              <w:t>6.</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7B993446" w14:textId="77777777" w:rsidR="000B7B76" w:rsidRDefault="005F572A">
            <w:pPr>
              <w:spacing w:after="0" w:line="240" w:lineRule="auto"/>
              <w:ind w:hanging="2"/>
              <w:jc w:val="both"/>
              <w:rPr>
                <w:sz w:val="24"/>
                <w:szCs w:val="24"/>
              </w:rPr>
            </w:pPr>
            <w:r>
              <w:rPr>
                <w:sz w:val="24"/>
                <w:szCs w:val="24"/>
              </w:rPr>
              <w:t>Dokumenta izstrādes laiks un plānotā virzība</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F776095" w14:textId="26AFA763" w:rsidR="000B7B76" w:rsidRDefault="005F572A" w:rsidP="005F572A">
            <w:pPr>
              <w:ind w:hanging="2"/>
              <w:jc w:val="both"/>
              <w:rPr>
                <w:sz w:val="24"/>
                <w:szCs w:val="24"/>
              </w:rPr>
            </w:pPr>
            <w:r>
              <w:rPr>
                <w:sz w:val="24"/>
                <w:szCs w:val="24"/>
              </w:rPr>
              <w:t xml:space="preserve">Noteikumu projektu plānots pieteikt izsludināšanai Valsts sekretāru sanāksmē 2020. gada </w:t>
            </w:r>
            <w:r w:rsidR="00B4657A">
              <w:rPr>
                <w:sz w:val="24"/>
                <w:szCs w:val="24"/>
              </w:rPr>
              <w:t>augustā</w:t>
            </w:r>
            <w:r>
              <w:rPr>
                <w:sz w:val="24"/>
                <w:szCs w:val="24"/>
              </w:rPr>
              <w:t>.</w:t>
            </w:r>
          </w:p>
        </w:tc>
      </w:tr>
      <w:tr w:rsidR="000B7B76" w14:paraId="59B97EA9"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47ABE478" w14:textId="77777777" w:rsidR="000B7B76" w:rsidRDefault="005F572A">
            <w:pPr>
              <w:spacing w:after="0" w:line="240" w:lineRule="auto"/>
              <w:ind w:hanging="2"/>
              <w:jc w:val="both"/>
              <w:rPr>
                <w:sz w:val="24"/>
                <w:szCs w:val="24"/>
              </w:rPr>
            </w:pPr>
            <w:r>
              <w:rPr>
                <w:sz w:val="24"/>
                <w:szCs w:val="24"/>
              </w:rPr>
              <w:t>7.</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2868BAD1" w14:textId="77777777" w:rsidR="000B7B76" w:rsidRDefault="005F572A">
            <w:pPr>
              <w:spacing w:after="0" w:line="240" w:lineRule="auto"/>
              <w:ind w:hanging="2"/>
              <w:jc w:val="both"/>
              <w:rPr>
                <w:sz w:val="24"/>
                <w:szCs w:val="24"/>
              </w:rPr>
            </w:pPr>
            <w:r>
              <w:rPr>
                <w:sz w:val="24"/>
                <w:szCs w:val="24"/>
              </w:rPr>
              <w:t>Dokumenti</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4D3BAFE" w14:textId="77777777" w:rsidR="000B7B76" w:rsidRDefault="005F572A">
            <w:pPr>
              <w:spacing w:after="0" w:line="240" w:lineRule="auto"/>
              <w:ind w:hanging="2"/>
              <w:jc w:val="both"/>
              <w:rPr>
                <w:sz w:val="24"/>
                <w:szCs w:val="24"/>
              </w:rPr>
            </w:pPr>
            <w:r>
              <w:rPr>
                <w:sz w:val="24"/>
                <w:szCs w:val="24"/>
              </w:rPr>
              <w:t>Noteikumu projekts un anotācija.</w:t>
            </w:r>
          </w:p>
        </w:tc>
      </w:tr>
      <w:tr w:rsidR="000B7B76" w14:paraId="2D2EE7EC"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C3CF1CF" w14:textId="77777777" w:rsidR="000B7B76" w:rsidRDefault="005F572A">
            <w:pPr>
              <w:spacing w:after="0" w:line="240" w:lineRule="auto"/>
              <w:ind w:hanging="2"/>
              <w:jc w:val="both"/>
              <w:rPr>
                <w:sz w:val="24"/>
                <w:szCs w:val="24"/>
              </w:rPr>
            </w:pPr>
            <w:r>
              <w:rPr>
                <w:sz w:val="24"/>
                <w:szCs w:val="24"/>
              </w:rPr>
              <w:t>8.</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091578EE" w14:textId="77777777" w:rsidR="000B7B76" w:rsidRDefault="005F572A">
            <w:pPr>
              <w:spacing w:after="0" w:line="240" w:lineRule="auto"/>
              <w:ind w:hanging="2"/>
              <w:jc w:val="both"/>
              <w:rPr>
                <w:sz w:val="24"/>
                <w:szCs w:val="24"/>
              </w:rPr>
            </w:pPr>
            <w:r>
              <w:rPr>
                <w:sz w:val="24"/>
                <w:szCs w:val="24"/>
              </w:rPr>
              <w:t>Sabiedrības pārstāvju iespējas līdzdarboties</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7CCF710" w14:textId="77777777" w:rsidR="000B7B76" w:rsidRDefault="005F572A">
            <w:pPr>
              <w:spacing w:after="0" w:line="240" w:lineRule="auto"/>
              <w:ind w:hanging="2"/>
              <w:jc w:val="both"/>
              <w:rPr>
                <w:sz w:val="24"/>
                <w:szCs w:val="24"/>
              </w:rPr>
            </w:pPr>
            <w:r>
              <w:rPr>
                <w:sz w:val="24"/>
                <w:szCs w:val="24"/>
              </w:rPr>
              <w:t>Atbilstoši Ministru kabineta 2009.  gada 25. augusta noteikumu Nr. 970 „Sabiedrības līdzdalības kārtība attīstības plānošanas procesā” 7.4.</w:t>
            </w:r>
            <w:r>
              <w:rPr>
                <w:sz w:val="24"/>
                <w:szCs w:val="24"/>
                <w:vertAlign w:val="superscript"/>
              </w:rPr>
              <w:t>1</w:t>
            </w:r>
            <w:r>
              <w:rPr>
                <w:sz w:val="24"/>
                <w:szCs w:val="24"/>
              </w:rPr>
              <w:t xml:space="preserve"> apakšpunktam.</w:t>
            </w:r>
          </w:p>
        </w:tc>
      </w:tr>
      <w:tr w:rsidR="000B7B76" w14:paraId="41D8AFA9"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7B840AAB" w14:textId="77777777" w:rsidR="000B7B76" w:rsidRDefault="005F572A">
            <w:pPr>
              <w:spacing w:after="0" w:line="240" w:lineRule="auto"/>
              <w:ind w:hanging="2"/>
              <w:jc w:val="both"/>
              <w:rPr>
                <w:sz w:val="24"/>
                <w:szCs w:val="24"/>
              </w:rPr>
            </w:pPr>
            <w:r>
              <w:rPr>
                <w:sz w:val="24"/>
                <w:szCs w:val="24"/>
              </w:rPr>
              <w:t>9.</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139A3C55" w14:textId="77777777" w:rsidR="000B7B76" w:rsidRDefault="005F572A">
            <w:pPr>
              <w:spacing w:after="0" w:line="240" w:lineRule="auto"/>
              <w:ind w:hanging="2"/>
              <w:jc w:val="both"/>
              <w:rPr>
                <w:sz w:val="24"/>
                <w:szCs w:val="24"/>
              </w:rPr>
            </w:pPr>
            <w:r>
              <w:rPr>
                <w:sz w:val="24"/>
                <w:szCs w:val="24"/>
              </w:rPr>
              <w:t>Pieteikšanās līdzdalībai</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73885079" w14:textId="77703D39" w:rsidR="00B4657A" w:rsidRDefault="005F572A" w:rsidP="005F572A">
            <w:pPr>
              <w:spacing w:after="0" w:line="240" w:lineRule="auto"/>
              <w:ind w:hanging="2"/>
              <w:jc w:val="both"/>
              <w:rPr>
                <w:sz w:val="24"/>
                <w:szCs w:val="24"/>
              </w:rPr>
            </w:pPr>
            <w:r>
              <w:rPr>
                <w:sz w:val="24"/>
                <w:szCs w:val="24"/>
              </w:rPr>
              <w:t xml:space="preserve">Priekšlikumus par noteikumu projektu, norādot kontaktinformāciju (vārdu, uzvārdu, adresi, tālruņa numuru un e-pasta adresi), iespējams sniegt līdz 2020. gada </w:t>
            </w:r>
            <w:r w:rsidR="00B4657A">
              <w:rPr>
                <w:sz w:val="24"/>
                <w:szCs w:val="24"/>
              </w:rPr>
              <w:t>1</w:t>
            </w:r>
            <w:r w:rsidR="008263A3">
              <w:rPr>
                <w:sz w:val="24"/>
                <w:szCs w:val="24"/>
              </w:rPr>
              <w:t>3</w:t>
            </w:r>
            <w:r>
              <w:rPr>
                <w:sz w:val="24"/>
                <w:szCs w:val="24"/>
              </w:rPr>
              <w:t xml:space="preserve">. </w:t>
            </w:r>
            <w:r w:rsidR="00B4657A">
              <w:rPr>
                <w:sz w:val="24"/>
                <w:szCs w:val="24"/>
              </w:rPr>
              <w:t>august</w:t>
            </w:r>
            <w:r>
              <w:rPr>
                <w:sz w:val="24"/>
                <w:szCs w:val="24"/>
              </w:rPr>
              <w:t>am.</w:t>
            </w:r>
          </w:p>
          <w:p w14:paraId="1F09463F" w14:textId="324A9D7B" w:rsidR="000B7B76" w:rsidRDefault="005F572A" w:rsidP="005F572A">
            <w:pPr>
              <w:spacing w:after="0" w:line="240" w:lineRule="auto"/>
              <w:ind w:hanging="2"/>
              <w:jc w:val="both"/>
              <w:rPr>
                <w:sz w:val="24"/>
                <w:szCs w:val="24"/>
              </w:rPr>
            </w:pPr>
            <w:r>
              <w:rPr>
                <w:sz w:val="24"/>
                <w:szCs w:val="24"/>
              </w:rPr>
              <w:t xml:space="preserve"> </w:t>
            </w:r>
          </w:p>
        </w:tc>
      </w:tr>
      <w:tr w:rsidR="000B7B76" w14:paraId="56D028E6" w14:textId="77777777">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0D7B8E4" w14:textId="77777777" w:rsidR="000B7B76" w:rsidRDefault="005F572A">
            <w:pPr>
              <w:spacing w:after="0" w:line="240" w:lineRule="auto"/>
              <w:ind w:hanging="2"/>
              <w:jc w:val="both"/>
              <w:rPr>
                <w:sz w:val="24"/>
                <w:szCs w:val="24"/>
              </w:rPr>
            </w:pPr>
            <w:r>
              <w:rPr>
                <w:sz w:val="24"/>
                <w:szCs w:val="24"/>
              </w:rPr>
              <w:lastRenderedPageBreak/>
              <w:t>10.</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EDCDC24" w14:textId="77777777" w:rsidR="000B7B76" w:rsidRDefault="005F572A">
            <w:pPr>
              <w:spacing w:after="0" w:line="240" w:lineRule="auto"/>
              <w:ind w:hanging="2"/>
              <w:jc w:val="both"/>
              <w:rPr>
                <w:sz w:val="24"/>
                <w:szCs w:val="24"/>
              </w:rPr>
            </w:pPr>
            <w:r>
              <w:rPr>
                <w:sz w:val="24"/>
                <w:szCs w:val="24"/>
              </w:rPr>
              <w:t>Cita informācija</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59F63EB2" w14:textId="77777777" w:rsidR="000B7B76" w:rsidRDefault="005F572A">
            <w:pPr>
              <w:spacing w:after="0" w:line="240" w:lineRule="auto"/>
              <w:ind w:hanging="2"/>
              <w:jc w:val="both"/>
              <w:rPr>
                <w:sz w:val="24"/>
                <w:szCs w:val="24"/>
              </w:rPr>
            </w:pPr>
            <w:r>
              <w:rPr>
                <w:sz w:val="24"/>
                <w:szCs w:val="24"/>
              </w:rPr>
              <w:t xml:space="preserve">Nav </w:t>
            </w:r>
          </w:p>
        </w:tc>
      </w:tr>
      <w:tr w:rsidR="000B7B76" w14:paraId="753951F8" w14:textId="77777777">
        <w:trPr>
          <w:trHeight w:val="480"/>
        </w:trPr>
        <w:tc>
          <w:tcPr>
            <w:tcW w:w="498"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0ABDF186" w14:textId="77777777" w:rsidR="000B7B76" w:rsidRDefault="005F572A">
            <w:pPr>
              <w:spacing w:after="0" w:line="240" w:lineRule="auto"/>
              <w:ind w:hanging="2"/>
              <w:jc w:val="both"/>
              <w:rPr>
                <w:sz w:val="24"/>
                <w:szCs w:val="24"/>
              </w:rPr>
            </w:pPr>
            <w:r>
              <w:rPr>
                <w:sz w:val="24"/>
                <w:szCs w:val="24"/>
              </w:rPr>
              <w:t>11.</w:t>
            </w:r>
          </w:p>
        </w:tc>
        <w:tc>
          <w:tcPr>
            <w:tcW w:w="1681"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33E75FB9" w14:textId="77777777" w:rsidR="000B7B76" w:rsidRDefault="005F572A">
            <w:pPr>
              <w:spacing w:after="0" w:line="240" w:lineRule="auto"/>
              <w:ind w:hanging="2"/>
              <w:jc w:val="both"/>
              <w:rPr>
                <w:sz w:val="24"/>
                <w:szCs w:val="24"/>
              </w:rPr>
            </w:pPr>
            <w:r>
              <w:rPr>
                <w:sz w:val="24"/>
                <w:szCs w:val="24"/>
              </w:rPr>
              <w:t>Atbildīgā amatpersona</w:t>
            </w:r>
          </w:p>
        </w:tc>
        <w:tc>
          <w:tcPr>
            <w:tcW w:w="6187"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tcPr>
          <w:p w14:paraId="4E4FFEF8" w14:textId="77777777" w:rsidR="000B7B76" w:rsidRDefault="005F572A">
            <w:pPr>
              <w:spacing w:after="0" w:line="240" w:lineRule="auto"/>
              <w:ind w:hanging="2"/>
              <w:jc w:val="both"/>
              <w:rPr>
                <w:sz w:val="24"/>
                <w:szCs w:val="24"/>
              </w:rPr>
            </w:pPr>
            <w:r>
              <w:rPr>
                <w:sz w:val="24"/>
                <w:szCs w:val="24"/>
              </w:rPr>
              <w:t xml:space="preserve">Laima Rituma, tālr. 67028198, </w:t>
            </w:r>
            <w:hyperlink r:id="rId6">
              <w:r>
                <w:rPr>
                  <w:color w:val="0000FF"/>
                  <w:sz w:val="24"/>
                  <w:szCs w:val="24"/>
                  <w:u w:val="single"/>
                </w:rPr>
                <w:t>jurlietas@sam.gov.lv</w:t>
              </w:r>
            </w:hyperlink>
            <w:r>
              <w:rPr>
                <w:sz w:val="24"/>
                <w:szCs w:val="24"/>
              </w:rPr>
              <w:t xml:space="preserve"> </w:t>
            </w:r>
          </w:p>
          <w:p w14:paraId="6DF543DC" w14:textId="3BB538A3" w:rsidR="000B7B76" w:rsidRDefault="000B7B76">
            <w:pPr>
              <w:spacing w:after="0" w:line="240" w:lineRule="auto"/>
              <w:ind w:hanging="2"/>
              <w:jc w:val="both"/>
              <w:rPr>
                <w:sz w:val="24"/>
                <w:szCs w:val="24"/>
              </w:rPr>
            </w:pPr>
          </w:p>
        </w:tc>
      </w:tr>
    </w:tbl>
    <w:p w14:paraId="330A8B75" w14:textId="77777777" w:rsidR="000B7B76" w:rsidRDefault="000B7B76">
      <w:pPr>
        <w:ind w:hanging="2"/>
        <w:rPr>
          <w:sz w:val="24"/>
          <w:szCs w:val="24"/>
        </w:rPr>
      </w:pPr>
    </w:p>
    <w:p w14:paraId="3694E4CA" w14:textId="77777777" w:rsidR="000B7B76" w:rsidRDefault="000B7B76">
      <w:pPr>
        <w:ind w:hanging="2"/>
        <w:rPr>
          <w:sz w:val="24"/>
          <w:szCs w:val="24"/>
        </w:rPr>
      </w:pPr>
    </w:p>
    <w:sectPr w:rsidR="000B7B76">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B56D8"/>
    <w:multiLevelType w:val="hybridMultilevel"/>
    <w:tmpl w:val="D5D04256"/>
    <w:lvl w:ilvl="0" w:tplc="627244E8">
      <w:start w:val="1"/>
      <w:numFmt w:val="decimal"/>
      <w:lvlText w:val="%1)"/>
      <w:lvlJc w:val="left"/>
      <w:pPr>
        <w:ind w:left="540" w:hanging="360"/>
      </w:pPr>
      <w:rPr>
        <w:rFonts w:ascii="Times New Roman" w:hAnsi="Times New Roman" w:cs="Times New Roman" w:hint="default"/>
        <w:b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76"/>
    <w:rsid w:val="000B7B76"/>
    <w:rsid w:val="005F572A"/>
    <w:rsid w:val="008263A3"/>
    <w:rsid w:val="00B465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79F0"/>
  <w15:docId w15:val="{BAF17D72-0C0A-4E69-8D7E-127C45CF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8"/>
        <w:szCs w:val="28"/>
        <w:lang w:val="lv-LV" w:eastAsia="lv-LV"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autoSpaceDN w:val="0"/>
      <w:ind w:leftChars="-1" w:left="-1" w:hangingChars="1" w:hanging="1"/>
      <w:textDirection w:val="btLr"/>
      <w:textAlignment w:val="baseline"/>
      <w:outlineLvl w:val="0"/>
    </w:pPr>
    <w:rPr>
      <w:position w:val="-1"/>
      <w:szCs w:val="22"/>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lang w:val="en-US"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character" w:customStyle="1" w:styleId="UnresolvedMention1">
    <w:name w:val="Unresolved Mention1"/>
    <w:qFormat/>
    <w:rPr>
      <w:color w:val="808080"/>
      <w:w w:val="100"/>
      <w:position w:val="-1"/>
      <w:effect w:val="none"/>
      <w:shd w:val="clear" w:color="auto" w:fill="E6E6E6"/>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ima.rituma@sam.gov.lv" TargetMode="External"/><Relationship Id="rId5" Type="http://schemas.openxmlformats.org/officeDocument/2006/relationships/hyperlink" Target="http://likumi.lv/doc.php?id=2567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1513</Words>
  <Characters>863</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 Ruško</dc:creator>
  <cp:lastModifiedBy>Jūlija Gabranova</cp:lastModifiedBy>
  <cp:revision>4</cp:revision>
  <dcterms:created xsi:type="dcterms:W3CDTF">2020-05-07T13:29:00Z</dcterms:created>
  <dcterms:modified xsi:type="dcterms:W3CDTF">2020-07-29T12:19:00Z</dcterms:modified>
</cp:coreProperties>
</file>