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Atveseļošanas un noturības mehānisma plāna 2.4. reformu un investīciju virziena "Digitālās infrastruktūras transformācija" 2.4.1.1.i. investīcijas "Pasīvās infrastruktūras izbūve Via Baltica koridorā 5G pārklājuma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Atveseļošanas un noturības mehānisma (turpmāk - Atveseļošanas fonds) plāna 2.4. reformu un investīciju virziena "Digitālās infrastruktūras transformācija" 2.4.1.1.i. investīcijas "Pasīvās infrastruktūras izbūve Via Baltica koridorā 5G pārklājuma nodrošināšanai" (turpmāk - 2.4.1.1.i. investīcija) mērķus un atskaites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pieejamo finansējumu un maksājumu veikšanas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2.4.1.1.i. investīcijas īstenošanas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atbalstāmās darbības un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atbildības sadalījumu starp iesaistītajām institūcijām un finansējuma saņēmēju;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vizuālās identitātes prasības;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dokumentu glabāšanas nosacījumus un ilgumu;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komercdarbības atbalsta nosacījumus un piemērojamo regulējumu.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mobilo sakaru mezglu punkti – tornis, masts vai cita būve, kurā tiek izvietotas mobilo sakaru bāzes stacijas.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infrastruktūra jeb 5G koridors – pasīvā elektronisko sakaru infrastruktūra (optisko kabeļu tīkli, to pieslēgumi mobilo sakaru mezglu punktiem, mobilo sakaru mezglu punkti un energoapgādes tīkli) autoceļam Via Baltica.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Autoceļš Via Baltica – ir E67 autoceļš Latvijas teritorijā, kas sastāv no sekojošiem ceļa posmiem: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A7 autoceļa (Rīga-Lietuvas robeža) posms: Grenctāles (Latvijas/Lietuvas robeža) caur Bauskas un Iecavas pilsētām līdz Rīgas apvedceļam Salaspils-Babīte (A5 – Ķekavas rotācijas aplis);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A5 autoceļa (Rīgas apvedceļš, Salaspils-Babīte) posms: A5 un A7 autoceļu krustojums (rotācijas aplis pie Ķekavas) – A5 krustojums ar A6 autoceļu (Rīga-Daugavpils) pie Salaspils, (šķērsojot Rīgas hidroelektrostaciju);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A6 autoceļa (Rīga-Daugavpils) posms: A6 autoceļa krustojums ar A5 autoceļu pie Salaspils – A6 autoceļa krustojums ar A4 autoceļu (Rīgas apvedceļš);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A4 autoceļa (Rīgas apvedceļš) posms,  A4 autoceļa (Rīgas apvedceļš) krustojums ar A6 autoceļu (Rīga-Daugavpils) pie Salaspils – A4 krustojums ar A2 autoceļu (Rīga-Sigulda);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A1 autoceļš (Baltezers-Igaunijas robeža (Ainaži)), A4 autoceļa (Rīgas apvedceļš) krustojums ar A2 autoceļu (Rīga-Sigulda) – Baltezers-Salacgrīva- Ainaži (Latvijas/Igaunijas robeža).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Optiskā tīkla pamattrase ir optiskā tīkla infrastruktūra, kas tiks izveidota autoceļa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minētajos ceļa posmos.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Līgums par projekta īstenošanu – līgums starp atbalsta sniedzēju un finansējuma saņēmēju.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2.4.1.1.i. investīcijas ieviešanas teritorija ir autoceļš Via Baltica un tā pieguļošās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2.4.1.1.i. investīcijas ietvaros nozares ministrijas funkcijas pilda Satiksmes ministrija (turpmāk - nozares ministrija).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2.4.1.1.i. investīcijas atbalsta sniedzējs ir nozares ministrija.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2.4.1.1.i. investīcija tiks īstenota iepriekš noteikta pretendentu loka ietvaros un atbalsts tiek sniegts granta veidā.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2.4.1.1.i. investīcijas finansējuma saņēmējs un projekta īstenotājs ir valsts akciju sabiedrība "Latvijas Valsts radio un televīzijas centrs" (turpmāk - finansējuma saņēmējs).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2.4.1.1. investīcijas optisko kabeļu tīkli tiek ieviesti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minētajos ceļa posmos, un mobilo sakaru mezglu punkti, optisko kabeļu tīkla pieslēgumi mobilo sakaru mezglu punktiem un energoapgādes tīkliem to pieguļošajās teritorijās.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2.4.1.1. investīcijai ir šāda sasaiste ar: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atklātas stratēģiskās autonomijas un drošības jautājumiem, ņemot vērā, ka 2.4.1.1. investīcija atbalstīs Eiropas Savienības digitālās suverenitātes mērķus;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pārrobežu un daudzvalstu projektiem, ņemot vērā, ka Latvija 2018. gada 28. septembrī ir noslēgusi saprašanās memorandu ar Igauniju un Lietuvu par savienotās un automatizētās braukšanas attīstību, kā arī 4G + un 5G tehnoloģiju izmantošanu Via Baltica koridorā, un 2.4.1.1. investīcija būs papildinoša Eiropas Savienības līmeņa "5G koridoru" iniciatīvai, sniedzot pozitīvu ietekmi ārpus Latvijas robežām.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digitālo dimensiju, ņemot vērā, ka 2.4.1.1. investīcija ir 100% vērsta uz digitālo mērķu sasniegšanu.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2.4.1.1.i. investīcijas mērķis un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2.4.1.1.i. investīcijas mērķis ir 5G koridora ieviešana saskaņā ar Eiropas Komisijas 2016. gada 14. septembra paziņojumu Eiropas Parlamentam, Padomei, Eiropas Ekonomikas un Sociālo Lietu Komitejai un Reģionu Komitejai "5G Eiropai. Rīcības plāns", sākotnēji koncentrējoties uz Via Baltica kā izmēģinājuma projektu, lai nākotnē attīstītu citus ceļa posmus.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2.4.1.1.i. investīcijas mērķa grupa ir elektronisko sakaru komersanti.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2.4.1.1.i.investīcijas ietvaros sasniedzamais atskaites punkts un mērķis: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Tehnisko prasību pieņemšana savienotai un automatizētai braukšanai, līdz 2021. gada 30. decembrim (atskaites punkts);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Optisko tīklu pieejamība Via Baltica trasē (100%) līdz 2025. gada 31. decembrim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noteiktā atskaites punkta sasniegšanu pamatos dokuments, kurā aprakstīts, kā tika atbilstīgi izpildīts atskaites punkts (tostarp visi būtiskie elementi), iekļauj šādu dokumentāru pierādījumu: vienotās tehniskās prasības infrastruktūrai (attiecībā uz optisko tīklu, sakaru torņiem, energoapgādes tīkliem u.c.), lai atbalstītu savienoto un automatizēto braukšanu autoceļa Via Baltica Latvijas posmā.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noteiktā mērķa sasniegšanu pamatos dokuments, kurā aprakstīts, kā tika atbilstīgi izpildīts mērķis (tostarp visi elementi), iekļauj šādus dokumentārus pierādījumus: izbūvētā optiskā tīkla pabeigšanas apliecinājumu kopiju (pieņemšanas un nodošanas akts), projekta īstenotāja apstiprinājumu par to, ka optiskie tīkli ir pieejami visā autoceļa Via Baltica trases garumā, un atbalsta sniedzēja apstiprinājumu un investīcijas kartējumu.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Pieejamais finansējums un maksājumu veikšanas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2.4.1.1.i. investīcijas īstenošanai pieejamais Atveseļošanas fonda finansējums ir 12 500 000 euro.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2.4.1.1.i. investīcijas projekta īstenošanas laikā finansējuma saņēmējs var saņemt: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avansa maksājumu ne vairāk kā 30% no projektā paredzētā Atveseļošanas fonda finansējuma apmēra saskaņā ar projektā noslēgto pakalpojumu, preču piegādes vai būvdarbu līgumiem,  ko finansējuma saņēmējs apgūst sešu mēnešu laikā saimnieciskā gada ietvaros. Atbalsta sniedzējs avansu piešķir, pamatojoties uz finansējuma saņēmēja rakstisku avansa pieprasījumu un izvērtējot plānotā avansa apmēru, tā pamatojumu un spēju to apgūt sešu mēnešu laikā saimnieciskā gada ietvaros. Atbilstoši projekta finansēšanas plānam avansa maksājumu var piešķirt vairākos maksājumos.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starpposma maksājumus proporcionāli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minētā investīcijas mērķa sasniegšanai ar nosacījumu, ka noteiktajā optiskā tīkla posmā pabeigti darbi, kas saistīti ar mobilo sakaru mezglu punktu pieslēgšanu optiskā tīkla pamattrasei, pamatojoties uz finansējuma saņēmēja iesniegto un atbalsta sniedzēja apstiprināto progresa ziņojumu Kohēzijas politikas fondu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noslēguma maksājumu, ievērojot, ka ir atbalstāma kumulatīvi 100% finansējuma atmaksa saskaņā ar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minētā investīcijas mērķa sasniegšanu ar nosacījumu, ka pabeigti darbi, kas saistīti ar mobilo sakaru mezglu punktu pieslēgšanu optiskā tīkla pamattrasei.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piešķirtā avansa un starpposma maksājumu summa nepārsniedz 90% no kopējā projekta finansējuma. Finansējuma saņēmējs starpposma maksājumu var saņemt pēc tam, kad iepriekšējais avansa maksājums vai starpposma maksājums ir ieguldīts pilnā apmērā.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2.4.1.1.i. investīcijas atbalstāmās darbības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Optiskā tīkla pamattrases (atvilces maršrutēšanas tīkla) infrastruktūras izbūve visā autoceļa Via Baltica garumā;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Optiskā tīkla infrastruktūras pieslēgumu izbūve no pamattrases līdz esošajiem mobilo sakaru mezgla punktiem;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sakaru torņu būvniecība ar pasīvās infrastruktūras pieslēgumu izveidi (tai skaitā pasīvās infrastruktūras darbības un piekļuves monitoringa infrastruktūra);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optiskā tīkla un sakaru torņu infrastruktūras (tai skaitā energoapgādes tīkla) projektēšanas un būvniecības procesa vadības un kontroles nodrošināšana.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2.4.1.1.i. investīcijas attiecināmās izmaksas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pasīvās infrastruktūras būvniecības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projektēšanas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ekspertīžu un izpētes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būvmateriālu un būvdarbu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elektroapgādes sadales sistēmas operatora pieslēguma izveides, tai skaitā ierīkošanas būvprojekta izstrādes,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sakaru torņu un ar to saistītās infrastruktūras izveides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projekta darbībām tieši saistīto publicitātes un vizuālās identitātes pasākumu izmaksas, kas veiktas atbilstoši </w:t>
      </w:r>
      <w:r w:rsidR="00000000" w:rsidRPr="00000000" w:rsidDel="00000000">
        <w:rPr>
          <w:rtl w:val="0"/>
        </w:rPr>
        <w:t xml:space="preserve">Eiropas Parlamenta un Padomes 2021. gada 12. februāra regulas  2021/241, ar ko izveido Atveseļošanas un noturības mehānismu,</w:t>
      </w:r>
      <w:r w:rsidR="00000000" w:rsidRPr="00000000" w:rsidDel="00000000">
        <w:rPr>
          <w:rtl w:val="0"/>
        </w:rPr>
        <w:t xml:space="preserve">  34. panta 2. punkta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būvdarbu uzraudzības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pasīvās infrastruktūras testēšanas izmaksas, tostarp testēšanas dokumentācijas izstrādes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pasīvās infrastruktūras darbības un piekļuves kontroles iekārtu iegādes un uzstādīšanas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pasīvās infrastruktūras būvniecībai nepieciešamo zemes gabalu iegāde un ar to saistītās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vadības un īstenošanas personāla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Izmaksas ir attiecināmas, ja 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veiktas saskaņā ar normatīvajiem aktiem publisko iepirkumu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veiktas, pamatojoties uz noslēgtu pakalpojuma, piegādes, būvdarba, uzņēmuma līgumu vai darba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faktiski veiktas, norādītas finansējuma saņēmēja grāmatvedības uzskaitē, identificējamas, nodalītas no pārējām izmaksām, pārbaudāmas, kā arī tās apliecina attiecīgi attaisnojuma dokumenti (oriģināli vai attiecīgo dokumentu normatīvajos aktos noteiktā kārtībā apliecinātas kopijas);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darbību īstenošanai un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mērķa sasniegšanai un ir paredzētas apstiprinātajā projekta iesniegumā;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 drošas finanšu vadības principam;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nav veiktas agrāk par dienu, kad Eiropas Komisija ir pieņēmusi lēmumu par 2.4.1.1.i. investīcijas saderību ar Līgumu par Eiropas Savienības darbību, izņemot tās aktivitātes, kas nav uzskatāmas par darbu sākumu atbilstoši </w:t>
      </w:r>
      <w:r w:rsidR="00000000" w:rsidRPr="00000000" w:rsidDel="00000000">
        <w:rPr>
          <w:rtl w:val="0"/>
        </w:rPr>
        <w:t xml:space="preserve">Eiropas Komisijas 2014. gada 17. jūnijs regulā Nr.651/2014, ar ko noteiktas atbalsta kategorijas atzīst par saderīgām ar iekšējo tirgu, piemērojot Līguma 107. un 108. pantu,</w:t>
      </w:r>
      <w:r w:rsidR="00000000" w:rsidRPr="00000000" w:rsidDel="00000000">
        <w:rPr>
          <w:rtl w:val="0"/>
        </w:rPr>
        <w:t xml:space="preserve"> 2.panta 23.punktā noteiktajai darbu sākuma definīcijai, un veiktas ne vēlāk kā 2025. gada 31. decembris;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saņēmējam projekta ietvaros ir iespēja ieplānot neatkarīga revidenta vai iekšējā auditora iesaisti, lai apliecinātu interešu konflikta, korupcijas un krāpšanas novēršanu, dubultfinansējuma riska novēršanu, atskaites punkta, mērķa sasniegšanu un izmaksu pamatotību, t.sk. datu ticamību. Neatkarīga revidenta vai iekšējā audita izmaksas ir attiecināmas finansēšanai no Atveseļošanas fonda finansējuma, izņemot, ja šo funkciju veic iekšējā audita struktūrvienība.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2.4.1.1.i. investīcijas attiecināmās izmaksas ir tieši attiecināmas uz Digitālo dimensiju, kas noteikta </w:t>
      </w:r>
      <w:r w:rsidR="00000000" w:rsidRPr="00000000" w:rsidDel="00000000">
        <w:rPr>
          <w:rtl w:val="0"/>
        </w:rPr>
        <w:t xml:space="preserve">Eiropas Parlamenta un Padomes 2021. gada 12. februāra regulas Nr. 2021/241, ar ko izveido Atveseļošanas un noturības mehānismu,</w:t>
      </w:r>
      <w:r w:rsidR="00000000" w:rsidRPr="00000000" w:rsidDel="00000000">
        <w:rPr>
          <w:rtl w:val="0"/>
        </w:rPr>
        <w:t xml:space="preserve"> 16.panta 2.punkta (b) daļas ii) apakšpunktā.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Atbildības sadalījums starp iesaistītajām institūcijām un finansējuma saņēmēju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2.4.1.1.i. investīcijas projekta iesnieguma veidlapas aizpildīšanu atbilstoši Kohēzijas politikas fondu vadības informācijas sistēmā pieejamajiem laukiem viena mēneša laikā pēc uzaicinājuma saņemšanas no nozares ministrijas;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 </w:t>
      </w:r>
      <w:r w:rsidR="00000000" w:rsidRPr="00000000" w:rsidDel="00000000">
        <w:rPr>
          <w:rtl w:val="0"/>
        </w:rPr>
        <w:t xml:space="preserve">apakšpunktu</w:t>
      </w:r>
      <w:r w:rsidR="00000000" w:rsidRPr="00000000" w:rsidDel="00000000">
        <w:rPr>
          <w:rtl w:val="0"/>
        </w:rPr>
        <w:t xml:space="preserve">  noteiktā rādītāja uzskaiti Kohēzijas politikas fondu vadības informācijas sistēmā un informācijas sniegšanu nozares ministrijai saskaņā ar līgumu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reizi ceturksnī vai pēc nozares ministrijas pieprasījuma atskaiti par 2.4.1.1.i. investīcijas mērķu sasniegšanas progresu saskaņā ar līgumu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plāna, tai skaitā informācijas par jau noslēgtiem iepirkumu līgumiem un citiem ar projekta īstenošanu saistītiem līgumiem, un plānoto maksājumu pieprasījumu iesniegšanas grafika saskaņā ar projekta īstenošanas līgumu, iesniegšanu un aktualizēšanu Kohēzijas politikas fondu vadības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iesniegšanu Kohēzijas politikas fondu vadības informācijas sistēmā maksājumu pieprasījumam, tai skaitā pamatojošo dokumentāciju saskaņā ar līgumu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sniegšanu pārbaužu veikšanai pēc pieprasījuma nozares ministrijai, institūcijām, kas nodrošina Atveseļošanas fonda plāna īstenošanu un uzraudzību, kā arī </w:t>
      </w:r>
      <w:r w:rsidR="00000000" w:rsidRPr="00000000" w:rsidDel="00000000">
        <w:rPr>
          <w:rtl w:val="0"/>
        </w:rPr>
        <w:t xml:space="preserve">Latvijas Republikas un Eiropas Komisijas finansēšanas nolīgumā par Atveseļošanas un noturības mehānismu</w:t>
      </w:r>
      <w:r w:rsidR="00000000" w:rsidRPr="00000000" w:rsidDel="00000000">
        <w:rPr>
          <w:rtl w:val="0"/>
        </w:rPr>
        <w:t xml:space="preserve"> </w:t>
      </w:r>
      <w:r w:rsidR="00000000" w:rsidRPr="00000000" w:rsidDel="00000000">
        <w:rPr>
          <w:rtl w:val="0"/>
        </w:rPr>
        <w:t xml:space="preserve">minētajām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piekļuves tarifu projekta un tā aprēķināšanas metodikas projekta iesniegšanu nozares ministrijai vismaz reizi trijos gados;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 projektā plānotie darbi netiek finansēti, kā arī tos nav plānots finansēt no citiem valsts, pašvaldības un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tiesības uz konkrēto objektu vai īpašumu, kurā plānots veikt ieguldījumus ir īpašumā, ilgtermiņa nomā vai nodibinātas apbūves tiesības, bezatlīdzības lietošanā, valdījumā. Finansējuma saņēmēja tiesības uz konkrēto objektu vai īpašumu ir nostiprinātas valsts vienotajā datorizētajā Zemesgrāmatā, izņemot, ja nacionālais normatīvais regulējums nosaka citu kārtību.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2.4.1.1.i. investīcijas īstenošanu saskaņā ar šo noteikumu nosacījumiem un līgumu par projekta īstenošanu līdz 2025. gada 31. decembrim un projekta noslēguma dokumentācijas iesniegšanu nozares ministrijai līdz 2026. gada 31. janvārim;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korupcijas, krāpšanas, interešu konflikta un dubultā finansējuma riska novēršanas pasākumus saskaņā ar līgumu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noslēguma audita veikšanu par visu projekta īstenošanas periodu, saņemot neatkarīga revidenta vai iekšējā auditora atzinumu,  kas apliecinātu interešu konflikta, korupcijas un krāpšanas novēršanu, dubultfinansējuma riska novēršanu, mērķa sasniegšanu un izmaksu pamatotību, t.sk. datu ticamību.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ietvaros izveidotās infrastruktūras amortizācijas periods ir 20 gadi pēc tās nodošanas ekspluatācijā un tās laikā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tiesīgs nodrošināt interneta piekļuves pakalpojumu sniegšanu galalietotājiem, datu pārraides piekļuves pakalpojumu sniegšanu galalietotājiem un balss telefonijas pakalpojumu sniegšanu galalietotājiem, izmantojot ar 2.4.1.1.i. investīcijas palīdzību izveidoto infrastruktūru. Minētie ierobežojumi neattiecas uz pakalpojumiem, kas ir saistīti ar valsts aizsardzības un drošības funkciju, kā arī valsts suverenitātes nodrošināšanu;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nedrīkst gūt peļņu no izveidotās infrastruktūras izmantošanas, nodrošinot, ka projekta ietvaros gūtie ieņēmumi un izdevumi ir līdzsvarā. Finansējuma saņēmējam jāatmaksā nozares ministrijai jebkāds iespējamais pārpalikums, kas iegūts no tīkla izmantošanas;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jebkuram elektronisko sakaru komersantam vienlīdzīgus piekļuves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sasniegto rezultātu uzturēšanu un nepieciešamos līdzekļus rezultātu uzturēšanai.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un izveidotā tīkla ekspluatācijai izmantoto līdzekļu uzskaiti, nodalot tā ietvaros veiktās darbības no citas saimnieciskās darbības.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Saskaņā ar principa "Nenodarīt būtisku kaitējumu" novērtējumu 2.4.1.1.i. investīcijai nav konstatēta negatīva ietekme uz vidi. Finansējuma saņēmējs nodrošina, ka visi principa "Nenodarīt būtisku kaitējumu" nosacījumi, kas ietverti projekta iesniegumā, tiek ievēroti.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Nozares ministrija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atbalsta programmas saskaņošanu ar Eiropas Komisiju, ievērojot Eiropas Savienības un nacionālos normatīvos aktus komercdarbības atbalsta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paziņojuma nosūtīšanu publicēšanai oficiālajā izdevumā "Latvijas Vēstnesis" par Eiropas Komisijas pieņemto lēmumu par komercdarbības atbalsta saderību ar Eiropas Savienības iekšējo tirgu;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minētā paziņojuma publicēšanas informē par to finansējuma saņēmēju un lūdz iesniegt finansējuma saņēmējam projekta iesnieguma veidlapu Kohēzijas politikas fondu vadības informācijas sistēmā;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iekšējās kontroles sistēmas īstenošanu, uzraudzību, pilnveidi un datu ticamības, izsekojamības, pamatotības un piekļuves nodrošināšanu, tostarp komercdarbības atbalsta nosacījumu ievērošanas nodrošināšanu, uzraudzību un risku pārvaldību atbilstoši iekšējiem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iesnieguma atbilstības novērtējumu mēneša laikā pēc projektu iesniegumu iesniegšanas šādām prasībām: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šo noteikumu </w:t>
      </w:r>
      <w:r w:rsidR="00000000" w:rsidRPr="00000000" w:rsidDel="00000000">
        <w:rPr>
          <w:rtl w:val="0"/>
        </w:rPr>
        <w:t xml:space="preserve">7.</w:t>
      </w:r>
      <w:r w:rsidR="00000000" w:rsidRPr="00000000" w:rsidDel="00000000">
        <w:rPr>
          <w:shd w:fill="#ffffff" w:val="clear"/>
          <w:rtl w:val="0"/>
        </w:rPr>
        <w:t xml:space="preserve"> </w:t>
      </w:r>
      <w:r w:rsidR="00000000" w:rsidRPr="00000000" w:rsidDel="00000000">
        <w:rPr>
          <w:shd w:fill="#e0ffff" w:val="clear"/>
          <w:rtl w:val="0"/>
        </w:rPr>
        <w:t xml:space="preserve">punktā</w:t>
      </w:r>
      <w:r w:rsidR="00000000" w:rsidRPr="00000000" w:rsidDel="00000000">
        <w:rPr>
          <w:rtl w:val="0"/>
        </w:rPr>
        <w:t xml:space="preserve"> izvirzītajām prasībām un</w:t>
      </w:r>
      <w:r w:rsidR="00000000" w:rsidRPr="00000000" w:rsidDel="00000000">
        <w:rPr>
          <w:rtl w:val="0"/>
        </w:rPr>
        <w:t xml:space="preserve">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136. pantā noteiktajiem izslēgšanas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mērķis ir atbilstošs šo noteikumu </w:t>
      </w:r>
      <w:r w:rsidR="00000000" w:rsidRPr="00000000" w:rsidDel="00000000">
        <w:rPr>
          <w:rtl w:val="0"/>
        </w:rPr>
        <w:t xml:space="preserve">10. punktam</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apakšpunktam</w:t>
      </w:r>
      <w:r w:rsidR="00000000" w:rsidRPr="00000000" w:rsidDel="00000000">
        <w:rPr>
          <w:rtl w:val="0"/>
        </w:rPr>
        <w:t xml:space="preserve">;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izmaksas ir atbilstošas šo noteikumu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un  </w:t>
      </w:r>
      <w:r w:rsidR="00000000" w:rsidRPr="00000000" w:rsidDel="00000000">
        <w:rPr>
          <w:rtl w:val="0"/>
        </w:rPr>
        <w:t xml:space="preserve">20.6. apakšpunktam.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darbības ir atbilstošas šo noteikumu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iekļauts apraksts par saskaņu ar horizontālo principu "Nenodarīt būtisku kaitējumu";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iesniegts apliecinājums, ka projekta iesniedzēja rīcībā ir pietiekami un stabili finanšu resursi, lai nodrošinātu projekta īstenošanu un uzturēšanu.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saņēmēja informēšanu par nosacījumu izpildei noteiktās darbības un termiņu gadījumā, ja projekta iesniegums neatbilst šo noteikumu 26.5. apakšpunktā minētajām prasībām.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līguma slēgšanu par projekta īstenošanu, tai skaitā mērķa sasniegšanu un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finansējuma ieguldīšanas, izlietošanas un uzraudzības kārtību, atbilstoši normatīvajos aktos noteiktajam, ja projekta iesniegums atbilst šo noteikumu </w:t>
      </w:r>
      <w:r w:rsidR="00000000" w:rsidRPr="00000000" w:rsidDel="00000000">
        <w:rPr>
          <w:rtl w:val="0"/>
        </w:rPr>
        <w:t xml:space="preserve">26.5. </w:t>
      </w:r>
      <w:r w:rsidR="00000000" w:rsidRPr="00000000" w:rsidDel="00000000">
        <w:rPr>
          <w:rtl w:val="0"/>
        </w:rPr>
        <w:t xml:space="preserve">apakšpunktā</w:t>
      </w:r>
      <w:r w:rsidR="00000000" w:rsidRPr="00000000" w:rsidDel="00000000">
        <w:rPr>
          <w:rtl w:val="0"/>
        </w:rPr>
        <w:t xml:space="preserve"> norādītajām prasībām un projekta iesniedzējs uz līguma slēgšanas brīdi atbilst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punktā izvirzītajām prasībām. Līgumā iekļauj vismaz šādus projekta īstenošanas nosacījumus: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ministrijas un finansējuma saņēmēja tiesības un pienākumi;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laikposms, kurā veiktās izmaksas var uzskatīt par attiecināmām;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un uzraudzības nosacījumi, tostarp atskaišu formas, atskaišu iesniegšana par mērķu sasniegšanas progresu, to pamatojošo dokumentācijas iesniegšanas un izskatīšanas kārtība, informācijas sniegšana pārbaužu veikšanai;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nosacījumi datu ievadei Kohēzijas politikas fondu vadības informācijas sistēmā, tostarp nosakot, kādi projekta iesnieguma datu lauki aizpildāmi;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nosacījumi;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maksājumu pieprasīšanas un veikšanas kārtība;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projekta īstenošanu saistīto dokumentu uzglabāšanas termiņš;</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līguma darbības laiks, tā grozīšanas un izbeigšanas kārtība;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strīdu izšķiršanas kārtība.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nepieciešamo darbību veikšanu, lai nodrošinātu nozares ministrijai tiesību aktos noteikto pienākumu attiecībā uz finansējuma saņēmēju veikt attiecīgas korektīvās darbības, ievērojot </w:t>
      </w:r>
      <w:r w:rsidR="00000000" w:rsidRPr="00000000" w:rsidDel="00000000">
        <w:rPr>
          <w:rtl w:val="0"/>
        </w:rPr>
        <w:t xml:space="preserve">Ministru kabineta 2021. gada 7. septembra noteikumu Nr. 621 "Eiropas Savienības Atveseļošanas un noturības mehānisma plāna īstenošanas un uzraudzības kārtība"</w:t>
      </w:r>
      <w:r w:rsidR="00000000" w:rsidRPr="00000000" w:rsidDel="00000000">
        <w:rPr>
          <w:rtl w:val="0"/>
        </w:rPr>
        <w:t xml:space="preserve">  8. punktā noteikto uzdevumu izpildi, tajā skaitā attiecībā uz 2.4.1.1.i. investīcijas mērķa sasniegšanu, ja nozares ministrija konstatē, ka netiek ievērotas normatīvajos aktos un līgumā par projekta īstenošanu noteiktās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pieprasa projekta īstenošanai nepieciešamo finansējumu no budžeta programmas normatīvajos aktos noteiktajā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projekta noslēguma dokumentācijas pārbaudi un noslēguma maksājumu līdz 2026. gada 31. augustam;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budžeta līdzekļu plānošanu 2.4.1.1.i. investīcijas īstenošanai un valsts budžeta līdzekļu pieprasījumu sagatavošanu atbilstoši normatīvajos aktos par budžetu un finanšu vadību noteiktajam;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nodrošinātu 2.4.1.1.i. investīcijas iekšējās kontroles sistēmas īstenošanas novērtējumu, nozares ministrija veic uz risku novērtējumu balstītu vismaz vienu iekšējo auditu līdz 2026. gada 31. martam, aptverot šādus aspektus: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korupcijas un krāpšanas novēršana;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dubultfinansējuma riska novēršana;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starpposma rādītāja un mērķa pamatojošās dokumentācijas pārbaude, tostarp datu ticamības pārbaude.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sniegšanu Kohēzijas politikas fondu vadības informācijas sistēmā Latvijas Atveseļošanas un noturības mehānisma plāna īstenošanas progresa pusgada ziņojuma un maksājuma pieprasījuma sagatavošanai: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10. janvārim – maksājumu pieprasījumu un izdevumus un sasniegto rādītāju pamatojošo dokumentu iesniegšanu par periodu līdz iepriekšējā gada beigām, izņemot projekta noslēguma dokumentāciju iesniedz saskaņā ar šo noteikumu </w:t>
      </w:r>
      <w:r w:rsidR="00000000" w:rsidRPr="00000000" w:rsidDel="00000000">
        <w:rPr>
          <w:rtl w:val="0"/>
        </w:rPr>
        <w:t xml:space="preserve">26.10.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10. jūlijam – maksājumu pieprasījumu un izdevumus un sasniegto rādītāju pamatojošo dokumentu iesniegšanu par periodu līdz kārtējā gada 30. jūnijam.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var izmantot tiesības uz līguma par projekta īstenošanu vienpusēja uzteikuma nosacījumiem, kad: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vai vienošanos par projekta īstenošanu, tai skaitā netiek ievēroti projektā noteiktie termiņi vai ir iestājušies citi apstākļi, kas negatīvi ietekmē vai var ietekmēt investīcijas vai noteikto rādītāju sasniegšanu;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 vai vienošanās par projekta īstenošanu.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Vizuālās identitātes prasības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Nozares ministrija un finansējuma saņēmējs nodrošina informācijas un publicitātes pasākumus par 2.4.1.1.i. investīciju </w:t>
      </w:r>
      <w:r w:rsidR="00000000" w:rsidRPr="00000000" w:rsidDel="00000000">
        <w:rPr>
          <w:rtl w:val="0"/>
        </w:rPr>
        <w:t xml:space="preserve">saskaņā ar Eiropas Parlamenta un Padomes 2021. gada 12. februāra regulas Nr. 2021/241, ar ko izveido Atveseļošanas un noturības mehānismu,</w:t>
      </w:r>
      <w:r w:rsidR="00000000" w:rsidRPr="00000000" w:rsidDel="00000000">
        <w:rPr>
          <w:rtl w:val="0"/>
        </w:rPr>
        <w:t xml:space="preserve"> </w:t>
      </w:r>
      <w:r w:rsidR="00000000" w:rsidRPr="00000000" w:rsidDel="00000000">
        <w:rPr>
          <w:rtl w:val="0"/>
        </w:rPr>
        <w:t xml:space="preserve"> 34. pantu un </w:t>
      </w:r>
      <w:r w:rsidR="00000000" w:rsidRPr="00000000" w:rsidDel="00000000">
        <w:rPr>
          <w:rtl w:val="0"/>
        </w:rPr>
        <w:t xml:space="preserve">Latvijas Republikas un Eiropas Komisijas finansēšanas nolīguma par Atveseļošanas un noturības mehānismu</w:t>
      </w:r>
      <w:r w:rsidR="00000000" w:rsidRPr="00000000" w:rsidDel="00000000">
        <w:rPr>
          <w:rtl w:val="0"/>
        </w:rPr>
        <w:t xml:space="preserve"> </w:t>
      </w:r>
      <w:r w:rsidR="00000000" w:rsidRPr="00000000" w:rsidDel="00000000">
        <w:rPr>
          <w:rtl w:val="0"/>
        </w:rPr>
        <w:t xml:space="preserve"> 10. pantu.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Nozares ministrija un finansējuma saņēmējs sagatavotajos 2.4.1.1.i. investīcijas projektā veikto publicitātes aktivitāšu (pasākumu) materiālos norāda Eiropas Savienības logo un attiecīgu finansējuma paziņojumu ar tekstu "atbalsta Eiropas Savienība – JaunāPaaudzeES", ievērojot </w:t>
      </w:r>
      <w:r w:rsidR="00000000" w:rsidRPr="00000000" w:rsidDel="00000000">
        <w:rPr>
          <w:rtl w:val="0"/>
        </w:rPr>
        <w:t xml:space="preserve">Eiropas Parlamenta un Padomes 2021. gada 12. februāra regulas Nr. 2021/241, ar ko izveido Atveseļošanas un noturības mehānismu,</w:t>
      </w:r>
      <w:r w:rsidR="00000000" w:rsidRPr="00000000" w:rsidDel="00000000">
        <w:rPr>
          <w:rtl w:val="0"/>
        </w:rPr>
        <w:t xml:space="preserve"> 34. panta 2. apakšpunktā minēto.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ne retāk kā reizi trijos mēnešos nodrošina aktuālās informācijas ievietošanu savā tīmekļa vietnē par projekta īstenošanas gaitu, tostarp izbūvētās infrastruktūras kartējumu.  </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Dokumentu glabāšanas nosacījumi un ilgums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nodrošina ar 2.4.1.1.i. investīcijas īstenošanu saistītās informācijas un dokumentu uzglabāšanu 20 gadus pēc projekta īstenošanas rezultātā izveidotās infrastruktūras pieņemšanas ekspluatācijā.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Nozares ministrija sadarbībā ar finansējuma saņēmēju nodrošina informācijas uzrādīšanu </w:t>
      </w:r>
      <w:r w:rsidR="00000000" w:rsidRPr="00000000" w:rsidDel="00000000">
        <w:rPr>
          <w:rtl w:val="0"/>
        </w:rPr>
        <w:t xml:space="preserve">Ministru kabineta 2021. gada 7. septembra noteikumu Nr. 621 "Eiropas Savienības Atveseļošanas un noturības mehānisma plāna īstenošanas un uzraudzības kārtība"</w:t>
      </w:r>
      <w:r w:rsidR="00000000" w:rsidRPr="00000000" w:rsidDel="00000000">
        <w:rPr>
          <w:rtl w:val="0"/>
        </w:rPr>
        <w:t xml:space="preserve">  2. punktā minētajām iestādēm, kā arī </w:t>
      </w:r>
      <w:r w:rsidR="00000000" w:rsidRPr="00000000" w:rsidDel="00000000">
        <w:rPr>
          <w:rtl w:val="0"/>
        </w:rPr>
        <w:t xml:space="preserve">Latvijas Republikas un Eiropas Komisijas finansēšanas nolīgumā par Atveseļošanas un noturības mehānismu</w:t>
      </w:r>
      <w:r w:rsidR="00000000" w:rsidRPr="00000000" w:rsidDel="00000000">
        <w:rPr>
          <w:rtl w:val="0"/>
        </w:rPr>
        <w:t xml:space="preserve"> 12. panta 3. punktā minētajām iestādēm.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Komercdarbības atbalsta nosacījumi un piemērojamais regulējums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Atbalsta instruments ir tiešā dotācija.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Maksimālā atbalsta summa individuālam projektam un pieļaujamais atbalsta apmērs ir 12 500 000 euro darbībām un izmaksām, kas minētas šo noteikumu </w:t>
      </w:r>
      <w:r w:rsidR="00000000" w:rsidRPr="00000000" w:rsidDel="00000000">
        <w:rPr>
          <w:rtl w:val="0"/>
        </w:rPr>
        <w:t xml:space="preserve">IV nodaļā</w:t>
      </w:r>
      <w:r w:rsidR="00000000" w:rsidRPr="00000000" w:rsidDel="00000000">
        <w:rPr>
          <w:rtl w:val="0"/>
        </w:rPr>
        <w:t xml:space="preserve">, un piemērojamā komercdarbības atbalsta intensitāte ir 100%.</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Atbalsts nav paredzēts grūtībās nonākušam uzņēmumam, kas definēts </w:t>
      </w:r>
      <w:r w:rsidR="00000000" w:rsidRPr="00000000" w:rsidDel="00000000">
        <w:rPr>
          <w:rtl w:val="0"/>
        </w:rPr>
        <w:t xml:space="preserve">Eiropas Komisijas 2014. gada 17. jūnijs regulā Nr.651/2014, ar ko noteiktas atbalsta kategorijas atzīst par saderīgām ar iekšējo tirgu, piemērojot Līguma 107. un 108. pantu,</w:t>
      </w:r>
      <w:r w:rsidR="00000000" w:rsidRPr="00000000" w:rsidDel="00000000">
        <w:rPr>
          <w:rtl w:val="0"/>
        </w:rPr>
        <w:t xml:space="preserve"> 2. panta 18. punktā.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Stimulējošās ietekmes nosacījumu nodrošināšanai atbalstu nedrīkst piešķirt jau uzsāktiem projektiem, kā arī pirms projekta atlases procedūras uzsākšanas ir jābūt veiktai sabiedriskai apspriešanai ne vēlāk kā vienu gadu, kurā elektronisko sakaru komersantiem lūgts iesniegt pamatotu informāciju par to tīkliem, kuri atrodas vai kurus ticami plānots ierīkot mērķa teritorijā projekta īstenošanas laikā, publicējot informāciju Satiksmes ministrijas tīmekļa vietnē.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Atbalsts netiek sniegts saņēmējam, uz kuru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Atbalsta piešķiršanas brīdis ir līguma par projekta īstenošanu noslēgšana, ko noslēdz pēc tam, kad Eiropas Komisija ir pieņēmusi lēmumu par 2.4.1.1.i. investīcijas saderību ar Līgumu par Eiropas Savienības darbību.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Lēmumu par atbalsta piešķiršanu var pieņemt līdz 2023. gada 31. decembrim.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Nozares ministrija publicē informāciju par sniegto komercdarbības atbalstu Eiropas Komisijas pārziņā esošajā elektroniskajā sistēmā Aid Award System Application, ievērojot publicitātes pasākumu izpildi, atbilstoši normatīvajam tiesību aktam par kārtību, kādā publicē informāciju par sniegto komercdarbības atbalstu un piešķir un anulē elektroniskās sistēmas lietošanas tiesības.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Komercdarbības atbalsta sniedzējinstitūcija ir nozares ministrija, kas nodrošina komercdarbības atbalsta nosacījumu ievērošanu investīcijas 2.4.1.1.i. atbalsta programmu un atbalsta projektu izstrādē un īstenošanā.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Subsidēto elektronisko sakaru tīklu uzraudzības komiteja vismaz 20 gadus pēc projekta īstenošanas rezultātā izveidotās infrastruktūras pieņemšanas ekspluatācijā nodrošina 2.4.1.1.i. investīcijas uzraudzību un:</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un vismaz reizi trīs gados pārskata piekļuves tarifu projekta īstenošanas rezultātā izveidotajai infrastruktūrai un tā aprēķināšanas metodiku;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piekļuves nosacījumus 2.4.1.1.i. investīcijas īstenošanas rezultātā izveidotajai infrastruktūrai.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Subsidēto elektronisko sakaru tīklu uzraudzības komiteja ir koleģiāla institūcija, kuras sastāvā ir šādi komitejas locekļi ar balsstiesībām: </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nozares ministrijas pārstāvis – Subsidēto elektronisko sakaru tīklu uzraudzības komitejas priekšsēdētājs; </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ministrijas pārstāvis – Subsidēto elektronisko sakaru tīklu uzraudzības komitejas priekšsēdētāja vietnieks;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Pašvaldību savienības pārstāvis;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katra plānošanas reģiona pārstāvis (plānošanas reģionu pārstāvjiem komitejas sēdes balsošanā kopīgi ir viena balss);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Patērētāju tiesību aizsardzības centra pārstāvis;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Darba devēju konfederācijas pārstāvis un Latvijas Tirdzniecības un rūpniecības kameras pārstāvis (minēto organizāciju pārstāvjiem komitejas sēdēs kopīgi ir viena balss);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komunikācijas tehnoloģiju nozares asociāciju pārstāvji (informācijas un komunikācijas tehnoloģiju nozares asociāciju pārstāvjiem komitejas sēdes balsošanā kopīgi ir viena balss).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Subsidēto elektronisko sakaru tīklu uzraudzības komitejas sastāvā ar padomdevēja tiesībām var piedalīties: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pakalpojumu regulēšanas komisijas pārstāvis;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Konkurences padomes pārstāvis;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pārstāvis.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Subsidēto elektronisko sakaru tīklu uzraudzības komitejas sastāvā novērotāja statusā var piedalīties Finanšu ministrijas pārstāvis.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Subsidēto elektronisko sakaru tīklu uzraudzības komitejas sekretariāta funkcijas nodrošina nozares ministrija.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Subsidēto elektronisko sakaru tīklu uzraudzības komitejas darbību nosaka komitejas reglaments, kuru apstiprina Satiksmes ministrijas valsts sekretārs.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Subsidēto elektronisko sakaru tīklu uzraudzības komitejai ir tiesības sniegt ierosinājumus nozares ministrijai.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Subsidēto elektronisko sakaru tīklu uzraudzības komiteja izvērtē saņemtos ierosinājumus un pieņem lēmumu, balsstiesīgajiem komitejas locekļiem savstarpēji vienojoties. Ja vienošanās nav panākta vai komitejas priekšsēdētājs uzskata balsošanu par nepieciešamu, lēmumu pieņem ar vienkāršu balsu vairākumu, balsojot atklāti. Ja balsu skaits sadalās vienādi, izšķirošā ir komitejas priekšsēdētāja balss.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Atbalsta sniedzējs līdz brīdim, kad finansējuma saņēmējs nelikumīgo komercdarbības atbalsta kopējo summu un attiecīgos procentus par atgūšanu ir atmaksājis vai iemaksājis bloķētā kontā, aptur paziņotā atbalsta piešķiršanu un/vai izmaksāšanu, ja finansējuma saņēmēja rīcībā joprojām ir iepriekšējs nelikumīgs atbalsts, kas ar Eiropas Komisijas lēmumu ir atzīts par nesaderīgu.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finansējuma saņēmējam ir pienākums atmaksāt nozares ministrijai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Atbalsta sniedzējs kopš optiskā tīkla un piekļuves punktu izmantošanas sākuma dienas visā optiskā tīkla un piekļuves punktu izmantošanas termiņā reizi divos gados sniedz Eiropas Komisijai informāciju par projektu.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Noteikumi stājas spēkā nākamajā dienā pēc tam, kad oficiālajā izdevumā "Latvijas Vēstnesis" publicēts paziņojums par to, ka Eiropas Komisija pieņēmusi lēmumu par šajos noteikumos paredzētā komercdarbības atbalsta saderību ar Eiropas Savienības iekšējo tirgu.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22-TA-1495</w:t>
    </w:r>
    <w:r>
      <w:br/>
    </w:r>
    <w:r w:rsidR="00000000" w:rsidRPr="00000000" w:rsidDel="00000000">
      <w:rPr>
        <w:rtl w:val="0"/>
      </w:rPr>
      <w:t xml:space="preserve">Izdrukāts 05.01.2023.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22-TA-1495</w:t>
    </w:r>
    <w:r>
      <w:br/>
    </w:r>
    <w:r w:rsidR="00000000" w:rsidRPr="00000000" w:rsidDel="00000000">
      <w:rPr>
        <w:rtl w:val="0"/>
      </w:rPr>
      <w:t xml:space="preserve">Izdrukāts 05.01.2023.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footer" Target="footer2.xml"/><Relationship Id="rId7" Type="http://schemas.openxmlformats.org/officeDocument/2006/relationships/header" Target="header1.xml"/><Relationship Id="rId2" Type="http://schemas.openxmlformats.org/officeDocument/2006/relationships/footer" Target="footer1.xml"/><Relationship Id="rId1" Type="http://schemas.openxmlformats.org/officeDocument/2006/relationships/fontTable" Target="fontTable.xml"/><Relationship Id="rId6" Type="http://schemas.openxmlformats.org/officeDocument/2006/relationships/styles" Target="style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6" ma:contentTypeDescription="Izveidot jaunu dokumentu." ma:contentTypeScope="" ma:versionID="ba7d2fbc0d83532d01f05f3879e6a979">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60020bc4bb945e4830b26ba91b682af3"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Props1.xml><?xml version="1.0" encoding="utf-8"?>
<ds:datastoreItem xmlns:ds="http://schemas.openxmlformats.org/officeDocument/2006/customXml" ds:itemID="{2B958B44-2BF5-44E4-A998-3EE5EF7894F1}"/>
</file>

<file path=customXml/itemProps2.xml><?xml version="1.0" encoding="utf-8"?>
<ds:datastoreItem xmlns:ds="http://schemas.openxmlformats.org/officeDocument/2006/customXml" ds:itemID="{C0CE39F1-699A-4C38-B28E-06E0799F937F}"/>
</file>

<file path=customXml/itemProps3.xml><?xml version="1.0" encoding="utf-8"?>
<ds:datastoreItem xmlns:ds="http://schemas.openxmlformats.org/officeDocument/2006/customXml" ds:itemID="{7F18D0C0-C4AB-462D-9A04-A014944C1233}"/>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noteikumu_projekts_22-TA-1495.docx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ies>
</file>