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6BE2B" w14:textId="77777777" w:rsidR="00525F54" w:rsidRPr="00CE60AC" w:rsidRDefault="00525F54" w:rsidP="0046483F">
      <w:pPr>
        <w:jc w:val="right"/>
        <w:rPr>
          <w:rFonts w:eastAsia="Calibri"/>
          <w:lang w:val="de-DE" w:eastAsia="en-US"/>
        </w:rPr>
      </w:pPr>
      <w:r w:rsidRPr="00CE60AC">
        <w:rPr>
          <w:rFonts w:eastAsia="Calibri"/>
          <w:lang w:val="de-DE" w:eastAsia="en-US"/>
        </w:rPr>
        <w:t>Projekts</w:t>
      </w:r>
    </w:p>
    <w:p w14:paraId="237A4DDE" w14:textId="77777777" w:rsidR="00525F54" w:rsidRPr="00CE60AC" w:rsidRDefault="00525F54" w:rsidP="00525F54">
      <w:pPr>
        <w:ind w:left="567" w:firstLine="567"/>
        <w:jc w:val="both"/>
        <w:rPr>
          <w:rFonts w:eastAsia="Calibri"/>
          <w:sz w:val="28"/>
          <w:szCs w:val="28"/>
          <w:lang w:val="de-DE" w:eastAsia="en-US"/>
        </w:rPr>
      </w:pPr>
    </w:p>
    <w:p w14:paraId="2609F3C0" w14:textId="77777777" w:rsidR="00525F54" w:rsidRPr="00CE60AC" w:rsidRDefault="00525F54" w:rsidP="0046483F">
      <w:pPr>
        <w:ind w:left="567" w:firstLine="567"/>
        <w:jc w:val="center"/>
        <w:rPr>
          <w:rFonts w:eastAsia="Calibri"/>
          <w:lang w:val="de-DE" w:eastAsia="en-US"/>
        </w:rPr>
      </w:pPr>
      <w:r w:rsidRPr="00CE60AC">
        <w:rPr>
          <w:rFonts w:eastAsia="Calibri"/>
          <w:lang w:val="de-DE" w:eastAsia="en-US"/>
        </w:rPr>
        <w:t>LATVIJAS REPUBLIKAS MINISTRU KABINETS</w:t>
      </w:r>
    </w:p>
    <w:p w14:paraId="4DD9516D" w14:textId="77777777" w:rsidR="006457F2" w:rsidRPr="00CE60AC" w:rsidRDefault="006457F2" w:rsidP="00143392">
      <w:pPr>
        <w:tabs>
          <w:tab w:val="left" w:pos="6663"/>
        </w:tabs>
      </w:pPr>
    </w:p>
    <w:p w14:paraId="701FA01C" w14:textId="77777777" w:rsidR="006457F2" w:rsidRPr="00CE60AC" w:rsidRDefault="006457F2" w:rsidP="00DD6762">
      <w:pPr>
        <w:tabs>
          <w:tab w:val="left" w:pos="6663"/>
        </w:tabs>
      </w:pPr>
    </w:p>
    <w:p w14:paraId="084E5500" w14:textId="7B7034B4" w:rsidR="006457F2" w:rsidRPr="00CE60AC" w:rsidRDefault="006457F2" w:rsidP="00DD6762">
      <w:pPr>
        <w:tabs>
          <w:tab w:val="left" w:pos="6804"/>
        </w:tabs>
      </w:pPr>
      <w:r w:rsidRPr="00CE60AC">
        <w:t>20</w:t>
      </w:r>
      <w:r w:rsidR="00A5055B" w:rsidRPr="00CE60AC">
        <w:t>20</w:t>
      </w:r>
      <w:r w:rsidRPr="00CE60AC">
        <w:t xml:space="preserve">. gada </w:t>
      </w:r>
      <w:r w:rsidR="003B6775" w:rsidRPr="00CE60AC">
        <w:t xml:space="preserve"> </w:t>
      </w:r>
      <w:r w:rsidR="00525F54" w:rsidRPr="00CE60AC">
        <w:rPr>
          <w:lang w:val="de-DE"/>
        </w:rPr>
        <w:t xml:space="preserve">__. _______                                              </w:t>
      </w:r>
      <w:r w:rsidR="003B6775" w:rsidRPr="00CE60AC">
        <w:t xml:space="preserve">   </w:t>
      </w:r>
      <w:r w:rsidRPr="00CE60AC">
        <w:tab/>
        <w:t>Noteikumi Nr.</w:t>
      </w:r>
      <w:r w:rsidR="00CA7A60" w:rsidRPr="00CE60AC">
        <w:t> </w:t>
      </w:r>
      <w:r w:rsidR="00525F54" w:rsidRPr="00CE60AC">
        <w:rPr>
          <w:lang w:val="de-DE"/>
        </w:rPr>
        <w:t>__</w:t>
      </w:r>
      <w:r w:rsidR="003B6775" w:rsidRPr="00CE60AC">
        <w:t xml:space="preserve">   </w:t>
      </w:r>
    </w:p>
    <w:p w14:paraId="401F9A05" w14:textId="15EED0F1" w:rsidR="006457F2" w:rsidRPr="00CE60AC" w:rsidRDefault="006457F2" w:rsidP="00DD6762">
      <w:pPr>
        <w:tabs>
          <w:tab w:val="left" w:pos="6804"/>
        </w:tabs>
      </w:pPr>
      <w:r w:rsidRPr="00CE60AC">
        <w:t>Rīgā</w:t>
      </w:r>
      <w:r w:rsidRPr="00CE60AC">
        <w:tab/>
        <w:t>(prot. Nr.</w:t>
      </w:r>
      <w:r w:rsidR="00525F54" w:rsidRPr="00CE60AC">
        <w:rPr>
          <w:lang w:val="de-DE"/>
        </w:rPr>
        <w:t xml:space="preserve"> .__ __</w:t>
      </w:r>
      <w:r w:rsidRPr="00CE60AC">
        <w:t> .§)</w:t>
      </w:r>
    </w:p>
    <w:p w14:paraId="05D25BA3" w14:textId="77777777" w:rsidR="0046483F" w:rsidRPr="00CE60AC" w:rsidRDefault="0046483F" w:rsidP="00DD6762">
      <w:pPr>
        <w:tabs>
          <w:tab w:val="left" w:pos="6804"/>
        </w:tabs>
      </w:pPr>
    </w:p>
    <w:p w14:paraId="01330DB4" w14:textId="6C32EFB8" w:rsidR="00C00A8E" w:rsidRPr="00CE60AC" w:rsidRDefault="00C00A8E" w:rsidP="00143392">
      <w:pPr>
        <w:ind w:right="-1"/>
        <w:jc w:val="center"/>
        <w:rPr>
          <w:b/>
          <w:sz w:val="28"/>
          <w:szCs w:val="28"/>
        </w:rPr>
      </w:pPr>
    </w:p>
    <w:p w14:paraId="236E7322" w14:textId="349987AD" w:rsidR="00A5055B" w:rsidRPr="00CE60AC" w:rsidRDefault="00A5055B" w:rsidP="00A5055B">
      <w:pPr>
        <w:spacing w:after="200"/>
        <w:jc w:val="center"/>
        <w:rPr>
          <w:rFonts w:eastAsia="Calibri"/>
          <w:b/>
          <w:lang w:eastAsia="en-US"/>
        </w:rPr>
      </w:pPr>
      <w:r w:rsidRPr="00CE60AC">
        <w:rPr>
          <w:rFonts w:eastAsia="Calibri"/>
          <w:b/>
          <w:lang w:eastAsia="en-US"/>
        </w:rPr>
        <w:t>Grozījum</w:t>
      </w:r>
      <w:r w:rsidR="007E601B" w:rsidRPr="00CE60AC">
        <w:rPr>
          <w:rFonts w:eastAsia="Calibri"/>
          <w:b/>
          <w:lang w:eastAsia="en-US"/>
        </w:rPr>
        <w:t xml:space="preserve">i </w:t>
      </w:r>
      <w:r w:rsidRPr="00CE60AC">
        <w:rPr>
          <w:rFonts w:eastAsia="Calibri"/>
          <w:b/>
          <w:lang w:eastAsia="en-US"/>
        </w:rPr>
        <w:t xml:space="preserve">Ministru kabineta 2016. gada </w:t>
      </w:r>
      <w:r w:rsidR="00051BB4" w:rsidRPr="00CE60AC">
        <w:rPr>
          <w:b/>
          <w:color w:val="000000"/>
        </w:rPr>
        <w:t xml:space="preserve">24.maija </w:t>
      </w:r>
      <w:r w:rsidRPr="00CE60AC">
        <w:rPr>
          <w:rFonts w:eastAsia="Calibri"/>
          <w:b/>
          <w:lang w:eastAsia="en-US"/>
        </w:rPr>
        <w:t>noteikumos Nr. </w:t>
      </w:r>
      <w:r w:rsidR="00051BB4" w:rsidRPr="00CE60AC">
        <w:rPr>
          <w:rFonts w:eastAsia="Calibri"/>
          <w:b/>
          <w:lang w:eastAsia="en-US"/>
        </w:rPr>
        <w:t>319</w:t>
      </w:r>
      <w:r w:rsidRPr="00CE60AC">
        <w:rPr>
          <w:rFonts w:eastAsia="Calibri"/>
          <w:b/>
          <w:lang w:eastAsia="en-US"/>
        </w:rPr>
        <w:t xml:space="preserve"> </w:t>
      </w:r>
      <w:r w:rsidR="00051BB4" w:rsidRPr="00CE60AC">
        <w:rPr>
          <w:b/>
          <w:color w:val="000000"/>
        </w:rPr>
        <w:t>“Darbības programmas "Izaugsme un nodarbinātība" 6.1.1. specifiskā atbalsta mērķa “Palielināt lielo ostu drošības līmeni un uzlabot transporta tīkla mobilitāti” īstenošanas noteikumi</w:t>
      </w:r>
      <w:r w:rsidR="00F50CB8" w:rsidRPr="00CE60AC">
        <w:rPr>
          <w:rFonts w:eastAsia="Calibri"/>
          <w:b/>
          <w:lang w:eastAsia="en-US"/>
        </w:rPr>
        <w:t>”</w:t>
      </w:r>
      <w:r w:rsidR="00467540">
        <w:rPr>
          <w:rFonts w:eastAsia="Calibri"/>
          <w:b/>
          <w:lang w:eastAsia="en-US"/>
        </w:rPr>
        <w:t>”</w:t>
      </w:r>
    </w:p>
    <w:p w14:paraId="7EB65D67" w14:textId="77777777" w:rsidR="00651D4F" w:rsidRPr="00CE60AC" w:rsidRDefault="00651D4F" w:rsidP="00651D4F">
      <w:pPr>
        <w:jc w:val="center"/>
        <w:rPr>
          <w:sz w:val="28"/>
          <w:szCs w:val="28"/>
        </w:rPr>
      </w:pPr>
    </w:p>
    <w:p w14:paraId="097CBB95" w14:textId="77777777" w:rsidR="008D04CD" w:rsidRPr="00CE60AC" w:rsidRDefault="008D04CD" w:rsidP="008D04CD">
      <w:pPr>
        <w:ind w:firstLine="720"/>
        <w:jc w:val="right"/>
      </w:pPr>
      <w:r w:rsidRPr="00CE60AC">
        <w:t>Izdoti saskaņā ar Eiropas Savienības struktūrfondu</w:t>
      </w:r>
    </w:p>
    <w:p w14:paraId="113500CC" w14:textId="77777777" w:rsidR="008D04CD" w:rsidRPr="00CE60AC" w:rsidRDefault="008D04CD" w:rsidP="008D04CD">
      <w:pPr>
        <w:ind w:firstLine="720"/>
        <w:jc w:val="right"/>
      </w:pPr>
      <w:r w:rsidRPr="00CE60AC">
        <w:t>un Kohēzijas fonda 2014.–2020. gada plānošanas perioda</w:t>
      </w:r>
    </w:p>
    <w:p w14:paraId="2900F24D" w14:textId="62A9B868" w:rsidR="00651D4F" w:rsidRPr="00CE60AC" w:rsidRDefault="008D04CD" w:rsidP="008D04CD">
      <w:pPr>
        <w:ind w:firstLine="720"/>
        <w:jc w:val="right"/>
      </w:pPr>
      <w:r w:rsidRPr="00CE60AC">
        <w:t>vadības likuma 20. panta 6. un 13. punktu</w:t>
      </w:r>
    </w:p>
    <w:p w14:paraId="24146704" w14:textId="77777777" w:rsidR="008D04CD" w:rsidRPr="00CE60AC" w:rsidRDefault="008D04CD" w:rsidP="008D04CD">
      <w:pPr>
        <w:ind w:firstLine="720"/>
        <w:jc w:val="right"/>
      </w:pPr>
    </w:p>
    <w:p w14:paraId="3C44D0C4" w14:textId="53650883" w:rsidR="007E601B" w:rsidRPr="00CE60AC" w:rsidRDefault="00A5055B" w:rsidP="00A5055B">
      <w:pPr>
        <w:ind w:firstLine="709"/>
        <w:jc w:val="both"/>
        <w:outlineLvl w:val="0"/>
        <w:rPr>
          <w:lang w:eastAsia="en-US"/>
        </w:rPr>
      </w:pPr>
      <w:r w:rsidRPr="00CE60AC">
        <w:rPr>
          <w:lang w:eastAsia="en-US"/>
        </w:rPr>
        <w:t xml:space="preserve">Izdarīt Ministru kabineta 2016. gada </w:t>
      </w:r>
      <w:r w:rsidR="00BD6F0E" w:rsidRPr="00CE60AC">
        <w:rPr>
          <w:lang w:eastAsia="en-US"/>
        </w:rPr>
        <w:t>24</w:t>
      </w:r>
      <w:r w:rsidRPr="00CE60AC">
        <w:rPr>
          <w:lang w:eastAsia="en-US"/>
        </w:rPr>
        <w:t>. </w:t>
      </w:r>
      <w:r w:rsidR="00BD6F0E" w:rsidRPr="00CE60AC">
        <w:rPr>
          <w:lang w:eastAsia="en-US"/>
        </w:rPr>
        <w:t>maija</w:t>
      </w:r>
      <w:r w:rsidRPr="00CE60AC">
        <w:rPr>
          <w:lang w:eastAsia="en-US"/>
        </w:rPr>
        <w:t xml:space="preserve"> noteikumos Nr. </w:t>
      </w:r>
      <w:r w:rsidR="00BD6F0E" w:rsidRPr="00CE60AC">
        <w:rPr>
          <w:lang w:eastAsia="en-US"/>
        </w:rPr>
        <w:t>319</w:t>
      </w:r>
      <w:r w:rsidRPr="00CE60AC">
        <w:rPr>
          <w:lang w:eastAsia="en-US"/>
        </w:rPr>
        <w:t xml:space="preserve"> </w:t>
      </w:r>
      <w:r w:rsidR="00F50CB8" w:rsidRPr="00CE60AC">
        <w:rPr>
          <w:lang w:eastAsia="en-US"/>
        </w:rPr>
        <w:t>“</w:t>
      </w:r>
      <w:r w:rsidR="00BD6F0E" w:rsidRPr="00CE60AC">
        <w:rPr>
          <w:color w:val="000000"/>
        </w:rPr>
        <w:t>Darbības programmas "Izaugsme un nodarbinātība" 6.1.1. specifiskā atbalsta mērķa “Palielināt lielo ostu drošības līmeni un uzlabot transporta tīkla mobilitāti</w:t>
      </w:r>
      <w:r w:rsidR="00A352FE" w:rsidRPr="00CE60AC">
        <w:rPr>
          <w:lang w:eastAsia="en-US"/>
        </w:rPr>
        <w:t>”</w:t>
      </w:r>
      <w:r w:rsidRPr="00CE60AC">
        <w:rPr>
          <w:lang w:eastAsia="en-US"/>
        </w:rPr>
        <w:t xml:space="preserve"> īstenošanas noteikumi</w:t>
      </w:r>
      <w:r w:rsidR="00A352FE" w:rsidRPr="00CE60AC">
        <w:rPr>
          <w:lang w:eastAsia="en-US"/>
        </w:rPr>
        <w:t>”</w:t>
      </w:r>
      <w:r w:rsidRPr="00CE60AC">
        <w:rPr>
          <w:lang w:eastAsia="en-US"/>
        </w:rPr>
        <w:t xml:space="preserve"> (Latvijas Vēstnesis, 2016, nr. </w:t>
      </w:r>
      <w:r w:rsidR="00E819F3" w:rsidRPr="00CE60AC">
        <w:rPr>
          <w:lang w:eastAsia="en-US"/>
        </w:rPr>
        <w:t>1</w:t>
      </w:r>
      <w:r w:rsidR="00BD6F0E" w:rsidRPr="00CE60AC">
        <w:rPr>
          <w:lang w:eastAsia="en-US"/>
        </w:rPr>
        <w:t>04</w:t>
      </w:r>
      <w:r w:rsidRPr="00CE60AC">
        <w:rPr>
          <w:lang w:eastAsia="en-US"/>
        </w:rPr>
        <w:t xml:space="preserve">) </w:t>
      </w:r>
      <w:r w:rsidR="007E601B" w:rsidRPr="00CE60AC">
        <w:rPr>
          <w:lang w:eastAsia="en-US"/>
        </w:rPr>
        <w:t xml:space="preserve">šādus </w:t>
      </w:r>
      <w:r w:rsidRPr="00CE60AC">
        <w:rPr>
          <w:lang w:eastAsia="en-US"/>
        </w:rPr>
        <w:t>grozījumu</w:t>
      </w:r>
      <w:r w:rsidR="007E601B" w:rsidRPr="00CE60AC">
        <w:rPr>
          <w:lang w:eastAsia="en-US"/>
        </w:rPr>
        <w:t xml:space="preserve">s: </w:t>
      </w:r>
    </w:p>
    <w:p w14:paraId="3EB2D388" w14:textId="4907D69C" w:rsidR="007E601B" w:rsidRPr="00CE60AC" w:rsidRDefault="007E601B" w:rsidP="007E601B">
      <w:pPr>
        <w:numPr>
          <w:ilvl w:val="0"/>
          <w:numId w:val="5"/>
        </w:numPr>
        <w:spacing w:before="120" w:after="120"/>
        <w:ind w:left="357" w:hanging="357"/>
        <w:jc w:val="both"/>
        <w:outlineLvl w:val="0"/>
        <w:rPr>
          <w:lang w:eastAsia="en-US"/>
        </w:rPr>
      </w:pPr>
      <w:r w:rsidRPr="00CE60AC">
        <w:rPr>
          <w:lang w:eastAsia="en-US"/>
        </w:rPr>
        <w:t xml:space="preserve">izteikt </w:t>
      </w:r>
      <w:r w:rsidR="00BD6F0E" w:rsidRPr="00CE60AC">
        <w:rPr>
          <w:lang w:eastAsia="en-US"/>
        </w:rPr>
        <w:t>15.</w:t>
      </w:r>
      <w:r w:rsidRPr="00CE60AC">
        <w:rPr>
          <w:lang w:eastAsia="en-US"/>
        </w:rPr>
        <w:t>punktu šādā redakcijā:</w:t>
      </w:r>
    </w:p>
    <w:p w14:paraId="24DC0ACE" w14:textId="6EA9E110" w:rsidR="00BD6F0E" w:rsidRPr="00CE60AC" w:rsidRDefault="007E601B" w:rsidP="00BD6F0E">
      <w:pPr>
        <w:shd w:val="clear" w:color="auto" w:fill="FFFFFF"/>
        <w:spacing w:line="293" w:lineRule="atLeast"/>
        <w:ind w:firstLine="300"/>
        <w:jc w:val="both"/>
        <w:rPr>
          <w:color w:val="000000" w:themeColor="text1"/>
          <w:sz w:val="20"/>
          <w:szCs w:val="20"/>
        </w:rPr>
      </w:pPr>
      <w:r w:rsidRPr="00CE60AC">
        <w:rPr>
          <w:lang w:eastAsia="en-US"/>
        </w:rPr>
        <w:t xml:space="preserve"> “</w:t>
      </w:r>
      <w:r w:rsidR="00BD6F0E" w:rsidRPr="00CE60AC">
        <w:rPr>
          <w:lang w:eastAsia="en-US"/>
        </w:rPr>
        <w:t>15</w:t>
      </w:r>
      <w:r w:rsidRPr="00CE60AC">
        <w:rPr>
          <w:color w:val="000000"/>
        </w:rPr>
        <w:t xml:space="preserve">.  </w:t>
      </w:r>
      <w:r w:rsidR="00BD6F0E" w:rsidRPr="00CE60AC">
        <w:rPr>
          <w:color w:val="000000"/>
        </w:rPr>
        <w:t xml:space="preserve">Projekta iesniedzējs sagatavo un iesniedz sadarbības iestādē projekta iesniegumu saskaņā ar projektu iesniegumu atlases nolikuma prasībām, pievienojot projektam veikto izmaksu un ieguvumu analīzi un projekta iesniedzēja sagatavotu </w:t>
      </w:r>
      <w:proofErr w:type="spellStart"/>
      <w:r w:rsidR="00BD6F0E" w:rsidRPr="00CE60AC">
        <w:rPr>
          <w:color w:val="000000"/>
        </w:rPr>
        <w:t>izvērtējumu</w:t>
      </w:r>
      <w:proofErr w:type="spellEnd"/>
      <w:r w:rsidR="00BD6F0E" w:rsidRPr="00CE60AC">
        <w:rPr>
          <w:color w:val="000000"/>
        </w:rPr>
        <w:t xml:space="preserve"> par komercdarbības atbalstu projektā.  Projekta iesniedzējam , veicot izmaksu un ieguvumu analīzi (finanšu analīzi un ekonomisko analīzi), jāievēro, ka projekta ekonomiskā ienesīguma norma ir lielāka par sociālo diskonta likmi un projekta ekonomiskā neto pašreizējā vērtība ir lielāka par nulli. Projekta pārskata periodu (projekta dzīves ciklu) nosaka atbilstoši Komisijas 2014.gada 3.marta Regulas Nr. </w:t>
      </w:r>
      <w:hyperlink r:id="rId8" w:tgtFrame="_blank" w:history="1">
        <w:r w:rsidR="00BD6F0E" w:rsidRPr="00CE60AC">
          <w:rPr>
            <w:color w:val="000000"/>
          </w:rPr>
          <w:t>480/2014</w:t>
        </w:r>
      </w:hyperlink>
      <w:r w:rsidR="00BD6F0E" w:rsidRPr="00CE60AC">
        <w:rPr>
          <w:color w:val="000000"/>
        </w:rPr>
        <w:t>, ar kuru papildina Eiropas Parlamenta un Padomes Regulu (ES) Nr.</w:t>
      </w:r>
      <w:hyperlink r:id="rId9" w:tgtFrame="_blank" w:history="1">
        <w:r w:rsidR="00BD6F0E" w:rsidRPr="00CE60AC">
          <w:rPr>
            <w:color w:val="000000"/>
          </w:rPr>
          <w:t>1303/2013</w:t>
        </w:r>
      </w:hyperlink>
      <w:r w:rsidR="00BD6F0E" w:rsidRPr="00CE60AC">
        <w:rPr>
          <w:color w:val="000000"/>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(Eiropas Savienības Oficiālais Vēstnesis, 2014.gada 13.maijs, Nr.L138) (turpmāk – Komisijas regula Nr. </w:t>
      </w:r>
      <w:hyperlink r:id="rId10" w:tgtFrame="_blank" w:history="1">
        <w:r w:rsidR="00BD6F0E" w:rsidRPr="00CE60AC">
          <w:rPr>
            <w:color w:val="000000"/>
          </w:rPr>
          <w:t>480/2014</w:t>
        </w:r>
      </w:hyperlink>
      <w:r w:rsidR="00BD6F0E" w:rsidRPr="00CE60AC">
        <w:rPr>
          <w:color w:val="000000"/>
        </w:rPr>
        <w:t>), 1.pielikumam.”</w:t>
      </w:r>
    </w:p>
    <w:p w14:paraId="2BF788BD" w14:textId="1D303C0A" w:rsidR="007E601B" w:rsidRPr="00CE60AC" w:rsidRDefault="00BD6F0E" w:rsidP="007E601B">
      <w:pPr>
        <w:numPr>
          <w:ilvl w:val="0"/>
          <w:numId w:val="5"/>
        </w:numPr>
        <w:spacing w:before="120" w:after="120"/>
        <w:ind w:left="357" w:hanging="357"/>
        <w:jc w:val="both"/>
        <w:outlineLvl w:val="0"/>
        <w:rPr>
          <w:lang w:eastAsia="en-US"/>
        </w:rPr>
      </w:pPr>
      <w:r w:rsidRPr="00CE60AC">
        <w:rPr>
          <w:lang w:eastAsia="en-US"/>
        </w:rPr>
        <w:t>papildināt ar 15.</w:t>
      </w:r>
      <w:r w:rsidRPr="00CE60AC">
        <w:rPr>
          <w:vertAlign w:val="superscript"/>
          <w:lang w:eastAsia="en-US"/>
        </w:rPr>
        <w:t>2</w:t>
      </w:r>
      <w:r w:rsidRPr="00CE60AC">
        <w:rPr>
          <w:lang w:eastAsia="en-US"/>
        </w:rPr>
        <w:t xml:space="preserve"> punktu šādā redakcijā</w:t>
      </w:r>
      <w:r w:rsidR="00A5055B" w:rsidRPr="00CE60AC">
        <w:rPr>
          <w:lang w:eastAsia="en-US"/>
        </w:rPr>
        <w:t>:</w:t>
      </w:r>
    </w:p>
    <w:p w14:paraId="2720C0D3" w14:textId="0100A0EB" w:rsidR="0096768A" w:rsidRPr="00CE60AC" w:rsidRDefault="0096768A" w:rsidP="00291CB8">
      <w:pPr>
        <w:shd w:val="clear" w:color="auto" w:fill="FFFFFF"/>
        <w:spacing w:before="45" w:line="248" w:lineRule="atLeast"/>
        <w:ind w:firstLine="300"/>
        <w:jc w:val="both"/>
        <w:rPr>
          <w:color w:val="000000"/>
        </w:rPr>
      </w:pPr>
      <w:r w:rsidRPr="00CE60AC">
        <w:rPr>
          <w:lang w:eastAsia="en-US"/>
        </w:rPr>
        <w:t>“</w:t>
      </w:r>
      <w:r w:rsidR="00BD6F0E" w:rsidRPr="00CE60AC">
        <w:rPr>
          <w:color w:val="000000" w:themeColor="text1"/>
        </w:rPr>
        <w:t>15.</w:t>
      </w:r>
      <w:r w:rsidR="00BD6F0E" w:rsidRPr="00CE60AC">
        <w:rPr>
          <w:color w:val="000000" w:themeColor="text1"/>
          <w:vertAlign w:val="superscript"/>
        </w:rPr>
        <w:t>2</w:t>
      </w:r>
      <w:r w:rsidR="00BD6F0E" w:rsidRPr="00CE60AC">
        <w:rPr>
          <w:color w:val="000000" w:themeColor="text1"/>
          <w:sz w:val="20"/>
          <w:szCs w:val="20"/>
          <w:vertAlign w:val="superscript"/>
        </w:rPr>
        <w:t xml:space="preserve"> </w:t>
      </w:r>
      <w:r w:rsidR="00BD6F0E" w:rsidRPr="00CE60AC">
        <w:rPr>
          <w:color w:val="000000"/>
        </w:rPr>
        <w:t>Ja valsts atbalstu komercdarbībai sniedz saskaņā ar Komisijas regulas Nr. </w:t>
      </w:r>
      <w:hyperlink r:id="rId11" w:tgtFrame="_blank" w:history="1">
        <w:r w:rsidR="00BD6F0E" w:rsidRPr="00CE60AC">
          <w:rPr>
            <w:color w:val="000000"/>
          </w:rPr>
          <w:t>651/2014</w:t>
        </w:r>
      </w:hyperlink>
      <w:r w:rsidR="00BD6F0E" w:rsidRPr="00CE60AC">
        <w:rPr>
          <w:color w:val="000000"/>
        </w:rPr>
        <w:t xml:space="preserve"> 56. "b" pantu un ja attiecīgajā projektā vai projekta daļā projekta pārskata periodā (projekta dzīves cikla laikā) ir radusies lielāka peļņa no pamatdarbības, nekā projektā plānots, finansējuma saņēmējs projekta pārskata perioda (projekta dzīves cikla) beigās veic šo noteikumu  </w:t>
      </w:r>
      <w:hyperlink r:id="rId12" w:anchor="p36" w:history="1">
        <w:r w:rsidR="00BD6F0E" w:rsidRPr="00CE60AC">
          <w:rPr>
            <w:color w:val="000000"/>
          </w:rPr>
          <w:t>15.</w:t>
        </w:r>
      </w:hyperlink>
      <w:r w:rsidR="00BD6F0E" w:rsidRPr="00CE60AC">
        <w:rPr>
          <w:color w:val="000000"/>
        </w:rPr>
        <w:t> punktā minētās izmaksu un ieguvumu analīzes pārrēķinu un sadarbības iestādei atmaksā starpību starp faktisko un plānoto peļņu no pamatdarbības.</w:t>
      </w:r>
      <w:r w:rsidRPr="00CE60AC">
        <w:rPr>
          <w:color w:val="000000"/>
        </w:rPr>
        <w:t>”</w:t>
      </w:r>
    </w:p>
    <w:p w14:paraId="07F45299" w14:textId="1675BF16" w:rsidR="00620D42" w:rsidRPr="00CE60AC" w:rsidRDefault="00291CB8" w:rsidP="00620D42">
      <w:pPr>
        <w:numPr>
          <w:ilvl w:val="0"/>
          <w:numId w:val="5"/>
        </w:numPr>
        <w:spacing w:before="120" w:after="120"/>
        <w:ind w:left="357" w:hanging="357"/>
        <w:jc w:val="both"/>
        <w:outlineLvl w:val="0"/>
        <w:rPr>
          <w:lang w:eastAsia="en-US"/>
        </w:rPr>
      </w:pPr>
      <w:r w:rsidRPr="00CE60AC">
        <w:rPr>
          <w:lang w:eastAsia="en-US"/>
        </w:rPr>
        <w:t xml:space="preserve">papildināt ar </w:t>
      </w:r>
      <w:r w:rsidRPr="00CE60AC">
        <w:rPr>
          <w:lang w:eastAsia="en-US"/>
        </w:rPr>
        <w:t>35</w:t>
      </w:r>
      <w:r w:rsidRPr="00CE60AC">
        <w:rPr>
          <w:lang w:eastAsia="en-US"/>
        </w:rPr>
        <w:t>.</w:t>
      </w:r>
      <w:r w:rsidRPr="00CE60AC">
        <w:rPr>
          <w:vertAlign w:val="superscript"/>
          <w:lang w:eastAsia="en-US"/>
        </w:rPr>
        <w:t>1</w:t>
      </w:r>
      <w:r w:rsidRPr="00CE60AC">
        <w:rPr>
          <w:lang w:eastAsia="en-US"/>
        </w:rPr>
        <w:t xml:space="preserve"> punktu šādā redakcijā</w:t>
      </w:r>
      <w:r w:rsidR="00620D42" w:rsidRPr="00CE60AC">
        <w:rPr>
          <w:lang w:eastAsia="en-US"/>
        </w:rPr>
        <w:t>:</w:t>
      </w:r>
    </w:p>
    <w:p w14:paraId="4004B599" w14:textId="7692D0F5" w:rsidR="00620D42" w:rsidRPr="00195433" w:rsidRDefault="00620D42" w:rsidP="00195433">
      <w:pPr>
        <w:shd w:val="clear" w:color="auto" w:fill="FFFFFF"/>
        <w:spacing w:line="293" w:lineRule="atLeast"/>
        <w:ind w:firstLine="300"/>
        <w:jc w:val="both"/>
        <w:rPr>
          <w:color w:val="000000" w:themeColor="text1"/>
        </w:rPr>
      </w:pPr>
      <w:r w:rsidRPr="00CE60AC">
        <w:lastRenderedPageBreak/>
        <w:t>“</w:t>
      </w:r>
      <w:r w:rsidR="00291CB8" w:rsidRPr="00CE60AC">
        <w:rPr>
          <w:color w:val="000000" w:themeColor="text1"/>
        </w:rPr>
        <w:t>35.</w:t>
      </w:r>
      <w:r w:rsidR="00291CB8" w:rsidRPr="00CE60AC">
        <w:rPr>
          <w:color w:val="000000" w:themeColor="text1"/>
          <w:vertAlign w:val="superscript"/>
        </w:rPr>
        <w:t>1</w:t>
      </w:r>
      <w:r w:rsidR="00291CB8" w:rsidRPr="00CE60AC">
        <w:rPr>
          <w:color w:val="000000" w:themeColor="text1"/>
          <w:shd w:val="clear" w:color="auto" w:fill="FFFFFF"/>
        </w:rPr>
        <w:t xml:space="preserve"> Ja valsts atbalstu komercdarbībai sniedz saskaņā ar Komisijas regulas Nr. </w:t>
      </w:r>
      <w:hyperlink r:id="rId13" w:tgtFrame="_blank" w:history="1">
        <w:r w:rsidR="00291CB8" w:rsidRPr="00CE60AC">
          <w:rPr>
            <w:rFonts w:eastAsia="Calibri"/>
          </w:rPr>
          <w:t>651/2014</w:t>
        </w:r>
      </w:hyperlink>
      <w:r w:rsidR="00291CB8" w:rsidRPr="00CE60AC">
        <w:rPr>
          <w:color w:val="000000" w:themeColor="text1"/>
          <w:shd w:val="clear" w:color="auto" w:fill="FFFFFF"/>
        </w:rPr>
        <w:t> 56. </w:t>
      </w:r>
      <w:r w:rsidR="00291CB8" w:rsidRPr="00CE60AC">
        <w:rPr>
          <w:color w:val="000000" w:themeColor="text1"/>
        </w:rPr>
        <w:t>"b" </w:t>
      </w:r>
      <w:r w:rsidR="00291CB8" w:rsidRPr="00CE60AC">
        <w:rPr>
          <w:color w:val="000000" w:themeColor="text1"/>
          <w:shd w:val="clear" w:color="auto" w:fill="FFFFFF"/>
        </w:rPr>
        <w:t>pantu, Finansējuma saņēmējs nodrošina, ka ar valsts atbalstu komercdarbībai saistītā projekta dokumentāciju glabā atbilstoši Komisijas regulas Nr. </w:t>
      </w:r>
      <w:hyperlink r:id="rId14" w:tgtFrame="_blank" w:history="1">
        <w:r w:rsidR="00291CB8" w:rsidRPr="00CE60AC">
          <w:rPr>
            <w:rFonts w:eastAsia="Calibri"/>
          </w:rPr>
          <w:t>480/2014</w:t>
        </w:r>
      </w:hyperlink>
      <w:r w:rsidR="00291CB8" w:rsidRPr="00CE60AC">
        <w:rPr>
          <w:rFonts w:eastAsia="Calibri"/>
        </w:rPr>
        <w:t> 1</w:t>
      </w:r>
      <w:r w:rsidR="00291CB8" w:rsidRPr="00CE60AC">
        <w:rPr>
          <w:color w:val="000000" w:themeColor="text1"/>
          <w:shd w:val="clear" w:color="auto" w:fill="FFFFFF"/>
        </w:rPr>
        <w:t>.pielikumā noteiktajam projekta pārskata periodam (projekta dzīves ciklam).</w:t>
      </w:r>
      <w:r w:rsidR="00291CB8" w:rsidRPr="00CE60AC">
        <w:rPr>
          <w:color w:val="000000" w:themeColor="text1"/>
          <w:shd w:val="clear" w:color="auto" w:fill="FFFFFF"/>
        </w:rPr>
        <w:t>”</w:t>
      </w:r>
    </w:p>
    <w:p w14:paraId="7A561FA2" w14:textId="3940A28D" w:rsidR="00291CB8" w:rsidRPr="00CE60AC" w:rsidRDefault="00291CB8" w:rsidP="00291CB8">
      <w:pPr>
        <w:numPr>
          <w:ilvl w:val="0"/>
          <w:numId w:val="5"/>
        </w:numPr>
        <w:spacing w:before="120" w:after="120"/>
        <w:ind w:left="357" w:hanging="357"/>
        <w:jc w:val="both"/>
        <w:outlineLvl w:val="0"/>
        <w:rPr>
          <w:lang w:eastAsia="en-US"/>
        </w:rPr>
      </w:pPr>
      <w:r w:rsidRPr="00CE60AC">
        <w:rPr>
          <w:lang w:eastAsia="en-US"/>
        </w:rPr>
        <w:t>papildināt ar 3</w:t>
      </w:r>
      <w:r w:rsidRPr="00CE60AC">
        <w:rPr>
          <w:lang w:eastAsia="en-US"/>
        </w:rPr>
        <w:t xml:space="preserve">7. </w:t>
      </w:r>
      <w:r w:rsidRPr="00CE60AC">
        <w:rPr>
          <w:lang w:eastAsia="en-US"/>
        </w:rPr>
        <w:t>punktu šādā redakcijā:</w:t>
      </w:r>
    </w:p>
    <w:p w14:paraId="1BFAA374" w14:textId="757B46C2" w:rsidR="00291CB8" w:rsidRPr="00CE60AC" w:rsidRDefault="00291CB8" w:rsidP="00291CB8">
      <w:pPr>
        <w:spacing w:before="120" w:after="120"/>
        <w:ind w:left="357"/>
        <w:jc w:val="both"/>
        <w:outlineLvl w:val="0"/>
        <w:rPr>
          <w:lang w:eastAsia="en-US"/>
        </w:rPr>
      </w:pPr>
      <w:r w:rsidRPr="00CE60AC">
        <w:rPr>
          <w:lang w:eastAsia="en-US"/>
        </w:rPr>
        <w:t>“3</w:t>
      </w:r>
      <w:r w:rsidRPr="00CE60AC">
        <w:rPr>
          <w:lang w:eastAsia="en-US"/>
        </w:rPr>
        <w:t>7. Ja valsts atbalstu sniedz saskaņā ar Komisijas regulas Nr.  </w:t>
      </w:r>
      <w:hyperlink r:id="rId15" w:tgtFrame="_blank" w:history="1">
        <w:r w:rsidRPr="00CE60AC">
          <w:rPr>
            <w:lang w:eastAsia="en-US"/>
          </w:rPr>
          <w:t>651/2014</w:t>
        </w:r>
      </w:hyperlink>
      <w:r w:rsidRPr="00CE60AC">
        <w:rPr>
          <w:lang w:eastAsia="en-US"/>
        </w:rPr>
        <w:t>  56. “b”</w:t>
      </w:r>
      <w:r w:rsidR="009A2C96">
        <w:rPr>
          <w:lang w:eastAsia="en-US"/>
        </w:rPr>
        <w:t xml:space="preserve"> </w:t>
      </w:r>
      <w:r w:rsidRPr="00CE60AC">
        <w:rPr>
          <w:lang w:eastAsia="en-US"/>
        </w:rPr>
        <w:t>pantu, sadarbības iestāde nodrošina projekta uzraudzību Komisijas regulas Nr.  </w:t>
      </w:r>
      <w:hyperlink r:id="rId16" w:tgtFrame="_blank" w:history="1">
        <w:r w:rsidRPr="00CE60AC">
          <w:rPr>
            <w:lang w:eastAsia="en-US"/>
          </w:rPr>
          <w:t>480/2014</w:t>
        </w:r>
      </w:hyperlink>
      <w:r w:rsidRPr="00CE60AC">
        <w:rPr>
          <w:lang w:eastAsia="en-US"/>
        </w:rPr>
        <w:t> 1. pielikumā noteiktajā projekta pārskata periodā (projekta dzīves ciklā).</w:t>
      </w:r>
      <w:r w:rsidRPr="00CE60AC">
        <w:rPr>
          <w:lang w:eastAsia="en-US"/>
        </w:rPr>
        <w:t>”</w:t>
      </w:r>
    </w:p>
    <w:p w14:paraId="7ECE5DF1" w14:textId="795D6770" w:rsidR="00651D4F" w:rsidRPr="00CE60AC" w:rsidRDefault="00651D4F" w:rsidP="00291CB8">
      <w:pPr>
        <w:tabs>
          <w:tab w:val="left" w:pos="426"/>
        </w:tabs>
        <w:spacing w:before="120"/>
        <w:ind w:left="426"/>
        <w:jc w:val="both"/>
        <w:outlineLvl w:val="0"/>
      </w:pPr>
    </w:p>
    <w:p w14:paraId="4DF6F54A" w14:textId="77777777" w:rsidR="00651D4F" w:rsidRPr="00CE60AC" w:rsidRDefault="00651D4F" w:rsidP="00651D4F">
      <w:pPr>
        <w:jc w:val="both"/>
      </w:pPr>
    </w:p>
    <w:p w14:paraId="25471E7F" w14:textId="22AB3513" w:rsidR="00073FA5" w:rsidRPr="00CE60AC" w:rsidRDefault="00073FA5" w:rsidP="00073FA5">
      <w:pPr>
        <w:ind w:firstLine="720"/>
      </w:pPr>
      <w:r w:rsidRPr="00CE60AC">
        <w:t xml:space="preserve">Ministru prezidents </w:t>
      </w:r>
      <w:r w:rsidRPr="00CE60AC">
        <w:tab/>
      </w:r>
      <w:r w:rsidRPr="00CE60AC">
        <w:tab/>
      </w:r>
      <w:r w:rsidRPr="00CE60AC">
        <w:tab/>
      </w:r>
      <w:r w:rsidRPr="00CE60AC">
        <w:tab/>
      </w:r>
      <w:r w:rsidRPr="00CE60AC">
        <w:tab/>
      </w:r>
      <w:r w:rsidR="00A5055B" w:rsidRPr="00CE60AC">
        <w:t xml:space="preserve">            </w:t>
      </w:r>
      <w:r w:rsidRPr="00CE60AC">
        <w:t>A. K. Kariņš</w:t>
      </w:r>
    </w:p>
    <w:p w14:paraId="3469AFA0" w14:textId="77777777" w:rsidR="00073FA5" w:rsidRPr="00CE60AC" w:rsidRDefault="00073FA5" w:rsidP="00073FA5">
      <w:pPr>
        <w:ind w:firstLine="720"/>
      </w:pPr>
      <w:r w:rsidRPr="00CE60AC">
        <w:t xml:space="preserve"> </w:t>
      </w:r>
    </w:p>
    <w:p w14:paraId="55835D86" w14:textId="77777777" w:rsidR="00073FA5" w:rsidRPr="00CE60AC" w:rsidRDefault="00073FA5" w:rsidP="00073FA5">
      <w:pPr>
        <w:ind w:firstLine="720"/>
      </w:pPr>
      <w:r w:rsidRPr="00CE60AC">
        <w:t>Satiksmes ministrs</w:t>
      </w:r>
      <w:r w:rsidRPr="00CE60AC">
        <w:tab/>
      </w:r>
      <w:r w:rsidRPr="00CE60AC">
        <w:tab/>
      </w:r>
      <w:r w:rsidRPr="00CE60AC">
        <w:tab/>
      </w:r>
      <w:r w:rsidRPr="00CE60AC">
        <w:tab/>
      </w:r>
      <w:r w:rsidRPr="00CE60AC">
        <w:tab/>
      </w:r>
      <w:r w:rsidRPr="00CE60AC">
        <w:tab/>
        <w:t>T. </w:t>
      </w:r>
      <w:proofErr w:type="spellStart"/>
      <w:r w:rsidRPr="00CE60AC">
        <w:t>Linkaits</w:t>
      </w:r>
      <w:proofErr w:type="spellEnd"/>
    </w:p>
    <w:p w14:paraId="2BA7B3B3" w14:textId="77777777" w:rsidR="00073FA5" w:rsidRPr="00CE60AC" w:rsidRDefault="00073FA5" w:rsidP="00073FA5">
      <w:pPr>
        <w:ind w:firstLine="720"/>
      </w:pPr>
    </w:p>
    <w:p w14:paraId="5BA5A195" w14:textId="77777777" w:rsidR="00073FA5" w:rsidRPr="00CE60AC" w:rsidRDefault="00073FA5" w:rsidP="00073FA5">
      <w:pPr>
        <w:ind w:firstLine="720"/>
      </w:pPr>
      <w:r w:rsidRPr="00CE60AC">
        <w:t>Iesniedzējs:</w:t>
      </w:r>
    </w:p>
    <w:p w14:paraId="7C34BCDF" w14:textId="38127FD3" w:rsidR="00073FA5" w:rsidRPr="00CE60AC" w:rsidRDefault="005529E1" w:rsidP="00073FA5">
      <w:pPr>
        <w:ind w:firstLine="720"/>
      </w:pPr>
      <w:r w:rsidRPr="00CE60AC">
        <w:t>S</w:t>
      </w:r>
      <w:r w:rsidR="00073FA5" w:rsidRPr="00CE60AC">
        <w:t xml:space="preserve">atiksmes ministrs </w:t>
      </w:r>
      <w:r w:rsidR="00073FA5" w:rsidRPr="00CE60AC">
        <w:tab/>
      </w:r>
      <w:r w:rsidR="00073FA5" w:rsidRPr="00CE60AC">
        <w:tab/>
      </w:r>
      <w:r w:rsidR="00073FA5" w:rsidRPr="00CE60AC">
        <w:tab/>
      </w:r>
      <w:r w:rsidR="00073FA5" w:rsidRPr="00CE60AC">
        <w:tab/>
      </w:r>
      <w:r w:rsidR="00073FA5" w:rsidRPr="00CE60AC">
        <w:tab/>
      </w:r>
      <w:r w:rsidR="00073FA5" w:rsidRPr="00CE60AC">
        <w:tab/>
        <w:t>T. </w:t>
      </w:r>
      <w:proofErr w:type="spellStart"/>
      <w:r w:rsidR="00073FA5" w:rsidRPr="00CE60AC">
        <w:t>Linkaits</w:t>
      </w:r>
      <w:proofErr w:type="spellEnd"/>
    </w:p>
    <w:p w14:paraId="0E3EBEDC" w14:textId="77777777" w:rsidR="00073FA5" w:rsidRPr="00CE60AC" w:rsidRDefault="00073FA5" w:rsidP="00073FA5">
      <w:pPr>
        <w:tabs>
          <w:tab w:val="left" w:pos="6804"/>
        </w:tabs>
        <w:ind w:firstLine="720"/>
      </w:pPr>
    </w:p>
    <w:p w14:paraId="182CBD8A" w14:textId="77777777" w:rsidR="00073FA5" w:rsidRPr="00CE60AC" w:rsidRDefault="00073FA5" w:rsidP="00073FA5">
      <w:pPr>
        <w:ind w:firstLine="720"/>
        <w:rPr>
          <w:lang w:val="nl-NL"/>
        </w:rPr>
      </w:pPr>
      <w:r w:rsidRPr="00CE60AC">
        <w:rPr>
          <w:lang w:val="nl-NL"/>
        </w:rPr>
        <w:t xml:space="preserve">Vīza: </w:t>
      </w:r>
    </w:p>
    <w:p w14:paraId="077012C8" w14:textId="55180610" w:rsidR="00073FA5" w:rsidRPr="00CE60AC" w:rsidRDefault="00E36D3B" w:rsidP="00073FA5">
      <w:pPr>
        <w:ind w:firstLine="720"/>
        <w:rPr>
          <w:lang w:val="nl-NL"/>
        </w:rPr>
      </w:pPr>
      <w:r w:rsidRPr="00CE60AC">
        <w:rPr>
          <w:lang w:val="nl-NL"/>
        </w:rPr>
        <w:t>V</w:t>
      </w:r>
      <w:r w:rsidR="00073FA5" w:rsidRPr="00CE60AC">
        <w:rPr>
          <w:lang w:val="nl-NL"/>
        </w:rPr>
        <w:t>alsts sekretār</w:t>
      </w:r>
      <w:r w:rsidR="005529E1" w:rsidRPr="00CE60AC">
        <w:rPr>
          <w:lang w:val="nl-NL"/>
        </w:rPr>
        <w:t>e</w:t>
      </w:r>
      <w:r w:rsidR="00C26393" w:rsidRPr="00CE60AC">
        <w:rPr>
          <w:lang w:val="nl-NL"/>
        </w:rPr>
        <w:tab/>
      </w:r>
      <w:r w:rsidR="00073FA5" w:rsidRPr="00CE60AC">
        <w:rPr>
          <w:lang w:val="nl-NL"/>
        </w:rPr>
        <w:tab/>
      </w:r>
      <w:r w:rsidR="00073FA5" w:rsidRPr="00CE60AC">
        <w:rPr>
          <w:lang w:val="nl-NL"/>
        </w:rPr>
        <w:tab/>
      </w:r>
      <w:r w:rsidR="00073FA5" w:rsidRPr="00CE60AC">
        <w:rPr>
          <w:lang w:val="nl-NL"/>
        </w:rPr>
        <w:tab/>
      </w:r>
      <w:r w:rsidR="00073FA5" w:rsidRPr="00CE60AC">
        <w:rPr>
          <w:lang w:val="nl-NL"/>
        </w:rPr>
        <w:tab/>
      </w:r>
      <w:r w:rsidR="005529E1" w:rsidRPr="00CE60AC">
        <w:rPr>
          <w:lang w:val="nl-NL"/>
        </w:rPr>
        <w:t xml:space="preserve">             I.Stepanova</w:t>
      </w:r>
    </w:p>
    <w:p w14:paraId="21372F40" w14:textId="0FB7910B" w:rsidR="00C60B40" w:rsidRPr="00CE60AC" w:rsidRDefault="00C60B40" w:rsidP="00073FA5">
      <w:pPr>
        <w:pStyle w:val="Body"/>
        <w:tabs>
          <w:tab w:val="left" w:pos="6237"/>
        </w:tabs>
        <w:spacing w:after="0" w:line="240" w:lineRule="auto"/>
        <w:ind w:firstLine="709"/>
        <w:jc w:val="both"/>
        <w:rPr>
          <w:rFonts w:ascii="Times New Roman" w:hAnsi="Times New Roman" w:cs="Times New Roman"/>
          <w:szCs w:val="28"/>
          <w:lang w:val="nl-NL"/>
        </w:rPr>
      </w:pPr>
    </w:p>
    <w:p w14:paraId="1043FA09" w14:textId="1ADBF719" w:rsidR="00620D42" w:rsidRPr="00CE60AC" w:rsidRDefault="00620D42" w:rsidP="00073FA5">
      <w:pPr>
        <w:pStyle w:val="Body"/>
        <w:tabs>
          <w:tab w:val="left" w:pos="6237"/>
        </w:tabs>
        <w:spacing w:after="0" w:line="240" w:lineRule="auto"/>
        <w:ind w:firstLine="709"/>
        <w:jc w:val="both"/>
        <w:rPr>
          <w:rFonts w:ascii="Times New Roman" w:hAnsi="Times New Roman" w:cs="Times New Roman"/>
          <w:szCs w:val="28"/>
          <w:lang w:val="nl-NL"/>
        </w:rPr>
      </w:pPr>
    </w:p>
    <w:p w14:paraId="5DCC9F3A" w14:textId="28288BA9" w:rsidR="00620D42" w:rsidRPr="00CE60AC" w:rsidRDefault="00620D42" w:rsidP="00073FA5">
      <w:pPr>
        <w:pStyle w:val="Body"/>
        <w:tabs>
          <w:tab w:val="left" w:pos="6237"/>
        </w:tabs>
        <w:spacing w:after="0" w:line="240" w:lineRule="auto"/>
        <w:ind w:firstLine="709"/>
        <w:jc w:val="both"/>
        <w:rPr>
          <w:rFonts w:ascii="Times New Roman" w:hAnsi="Times New Roman" w:cs="Times New Roman"/>
          <w:szCs w:val="28"/>
          <w:lang w:val="nl-NL"/>
        </w:rPr>
      </w:pPr>
    </w:p>
    <w:sectPr w:rsidR="00620D42" w:rsidRPr="00CE60AC" w:rsidSect="006457F2">
      <w:headerReference w:type="default" r:id="rId17"/>
      <w:footerReference w:type="default" r:id="rId18"/>
      <w:footerReference w:type="first" r:id="rId19"/>
      <w:pgSz w:w="11906" w:h="16838" w:code="9"/>
      <w:pgMar w:top="141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2407F" w14:textId="77777777" w:rsidR="00384344" w:rsidRDefault="00384344">
      <w:r>
        <w:separator/>
      </w:r>
    </w:p>
  </w:endnote>
  <w:endnote w:type="continuationSeparator" w:id="0">
    <w:p w14:paraId="18A56EFE" w14:textId="77777777" w:rsidR="00384344" w:rsidRDefault="0038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6E4B0" w14:textId="77777777" w:rsidR="00291CB8" w:rsidRPr="009F3EFB" w:rsidRDefault="00291CB8" w:rsidP="00291CB8">
    <w:pPr>
      <w:pStyle w:val="Footer"/>
      <w:rPr>
        <w:sz w:val="20"/>
        <w:szCs w:val="20"/>
      </w:rPr>
    </w:pPr>
    <w:r>
      <w:rPr>
        <w:sz w:val="20"/>
        <w:szCs w:val="20"/>
      </w:rPr>
      <w:t>SMNot_11112020_Groz319</w:t>
    </w:r>
  </w:p>
  <w:p w14:paraId="16A40BDE" w14:textId="6765507C" w:rsidR="004E3119" w:rsidRDefault="004E3119" w:rsidP="00B85E03">
    <w:pPr>
      <w:pStyle w:val="Footer"/>
    </w:pPr>
  </w:p>
  <w:p w14:paraId="34CD8747" w14:textId="77777777" w:rsidR="00B85E03" w:rsidRPr="00B85E03" w:rsidRDefault="00B85E03" w:rsidP="00B85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DC354" w14:textId="62CF715C" w:rsidR="006457F2" w:rsidRPr="009F3EFB" w:rsidRDefault="0072507B">
    <w:pPr>
      <w:pStyle w:val="Footer"/>
      <w:rPr>
        <w:sz w:val="20"/>
        <w:szCs w:val="20"/>
      </w:rPr>
    </w:pPr>
    <w:r>
      <w:rPr>
        <w:sz w:val="20"/>
        <w:szCs w:val="20"/>
      </w:rPr>
      <w:t>SM</w:t>
    </w:r>
    <w:r w:rsidR="004C31F6">
      <w:rPr>
        <w:sz w:val="20"/>
        <w:szCs w:val="20"/>
      </w:rPr>
      <w:t>N</w:t>
    </w:r>
    <w:r w:rsidR="009F3EFB">
      <w:rPr>
        <w:sz w:val="20"/>
        <w:szCs w:val="20"/>
      </w:rPr>
      <w:t>ot_</w:t>
    </w:r>
    <w:r w:rsidR="00291CB8">
      <w:rPr>
        <w:sz w:val="20"/>
        <w:szCs w:val="20"/>
      </w:rPr>
      <w:t>11112020</w:t>
    </w:r>
    <w:r w:rsidR="00A5055B">
      <w:rPr>
        <w:sz w:val="20"/>
        <w:szCs w:val="20"/>
      </w:rPr>
      <w:t>_</w:t>
    </w:r>
    <w:r w:rsidR="0003087D">
      <w:rPr>
        <w:sz w:val="20"/>
        <w:szCs w:val="20"/>
      </w:rPr>
      <w:t>Groz</w:t>
    </w:r>
    <w:r w:rsidR="00291CB8">
      <w:rPr>
        <w:sz w:val="20"/>
        <w:szCs w:val="20"/>
      </w:rPr>
      <w:t>319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6A77A" w14:textId="77777777" w:rsidR="00384344" w:rsidRDefault="00384344">
      <w:r>
        <w:separator/>
      </w:r>
    </w:p>
  </w:footnote>
  <w:footnote w:type="continuationSeparator" w:id="0">
    <w:p w14:paraId="32C7471B" w14:textId="77777777" w:rsidR="00384344" w:rsidRDefault="0038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098333"/>
      <w:docPartObj>
        <w:docPartGallery w:val="Page Numbers (Top of Page)"/>
        <w:docPartUnique/>
      </w:docPartObj>
    </w:sdtPr>
    <w:sdtEndPr>
      <w:rPr>
        <w:noProof/>
      </w:rPr>
    </w:sdtEndPr>
    <w:sdtContent>
      <w:p w14:paraId="120BC564" w14:textId="66C0720F" w:rsidR="00E368BA" w:rsidRDefault="00E368BA">
        <w:pPr>
          <w:pStyle w:val="Header"/>
          <w:jc w:val="center"/>
        </w:pPr>
        <w:r>
          <w:fldChar w:fldCharType="begin"/>
        </w:r>
        <w:r>
          <w:instrText xml:space="preserve"> PAGE   \* MERGEFORMAT </w:instrText>
        </w:r>
        <w:r>
          <w:fldChar w:fldCharType="separate"/>
        </w:r>
        <w:r w:rsidR="002E2FAD">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7845E1"/>
    <w:multiLevelType w:val="multilevel"/>
    <w:tmpl w:val="68B07DAC"/>
    <w:lvl w:ilvl="0">
      <w:start w:val="1"/>
      <w:numFmt w:val="decimal"/>
      <w:lvlText w:val="%1."/>
      <w:lvlJc w:val="left"/>
      <w:pPr>
        <w:ind w:left="1637" w:hanging="360"/>
      </w:pPr>
      <w:rPr>
        <w:rFonts w:hint="default"/>
      </w:rPr>
    </w:lvl>
    <w:lvl w:ilvl="1">
      <w:start w:val="4"/>
      <w:numFmt w:val="none"/>
      <w:lvlText w:val="4.1."/>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A91145"/>
    <w:multiLevelType w:val="multilevel"/>
    <w:tmpl w:val="F8604350"/>
    <w:lvl w:ilvl="0">
      <w:start w:val="1"/>
      <w:numFmt w:val="decimal"/>
      <w:lvlText w:val="%1."/>
      <w:lvlJc w:val="left"/>
      <w:pPr>
        <w:ind w:left="1637"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8667DB"/>
    <w:multiLevelType w:val="hybridMultilevel"/>
    <w:tmpl w:val="90942540"/>
    <w:lvl w:ilvl="0" w:tplc="EFFE918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5C586028"/>
    <w:multiLevelType w:val="multilevel"/>
    <w:tmpl w:val="55C6149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681547BE"/>
    <w:multiLevelType w:val="multilevel"/>
    <w:tmpl w:val="18249F8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3"/>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7A"/>
    <w:rsid w:val="00001D6E"/>
    <w:rsid w:val="0001382E"/>
    <w:rsid w:val="000149FD"/>
    <w:rsid w:val="00023004"/>
    <w:rsid w:val="00024B7B"/>
    <w:rsid w:val="0003087D"/>
    <w:rsid w:val="000343F2"/>
    <w:rsid w:val="00051BB4"/>
    <w:rsid w:val="00064A65"/>
    <w:rsid w:val="00065417"/>
    <w:rsid w:val="00073FA5"/>
    <w:rsid w:val="000861B3"/>
    <w:rsid w:val="00094C42"/>
    <w:rsid w:val="00097A3F"/>
    <w:rsid w:val="000A5426"/>
    <w:rsid w:val="000A7D69"/>
    <w:rsid w:val="000B5288"/>
    <w:rsid w:val="000D0BD6"/>
    <w:rsid w:val="000F2D8F"/>
    <w:rsid w:val="00112F86"/>
    <w:rsid w:val="00122A47"/>
    <w:rsid w:val="001254CA"/>
    <w:rsid w:val="00137AC9"/>
    <w:rsid w:val="00143392"/>
    <w:rsid w:val="00143694"/>
    <w:rsid w:val="00162B07"/>
    <w:rsid w:val="00166916"/>
    <w:rsid w:val="00166FCA"/>
    <w:rsid w:val="0017478B"/>
    <w:rsid w:val="00181AD6"/>
    <w:rsid w:val="001920E1"/>
    <w:rsid w:val="00195433"/>
    <w:rsid w:val="00196238"/>
    <w:rsid w:val="001A6EF4"/>
    <w:rsid w:val="001A710C"/>
    <w:rsid w:val="001C2481"/>
    <w:rsid w:val="001C54BD"/>
    <w:rsid w:val="001D31F3"/>
    <w:rsid w:val="001D7F58"/>
    <w:rsid w:val="002040C5"/>
    <w:rsid w:val="00216C6D"/>
    <w:rsid w:val="002324E9"/>
    <w:rsid w:val="00235571"/>
    <w:rsid w:val="00240843"/>
    <w:rsid w:val="00242C98"/>
    <w:rsid w:val="00291CB8"/>
    <w:rsid w:val="002948BD"/>
    <w:rsid w:val="00294ED1"/>
    <w:rsid w:val="002A72A1"/>
    <w:rsid w:val="002B07A7"/>
    <w:rsid w:val="002B1439"/>
    <w:rsid w:val="002C51C0"/>
    <w:rsid w:val="002D5D3B"/>
    <w:rsid w:val="002D5FC0"/>
    <w:rsid w:val="002E2FAD"/>
    <w:rsid w:val="002E33C4"/>
    <w:rsid w:val="002F09CE"/>
    <w:rsid w:val="002F71E6"/>
    <w:rsid w:val="003460CE"/>
    <w:rsid w:val="003461B0"/>
    <w:rsid w:val="003657FB"/>
    <w:rsid w:val="00370725"/>
    <w:rsid w:val="00376128"/>
    <w:rsid w:val="00376CF7"/>
    <w:rsid w:val="0037734D"/>
    <w:rsid w:val="00384344"/>
    <w:rsid w:val="00387A91"/>
    <w:rsid w:val="00394279"/>
    <w:rsid w:val="00395BC5"/>
    <w:rsid w:val="0039616E"/>
    <w:rsid w:val="003B6775"/>
    <w:rsid w:val="003C368A"/>
    <w:rsid w:val="003D16AF"/>
    <w:rsid w:val="003E1992"/>
    <w:rsid w:val="003F2AFD"/>
    <w:rsid w:val="00404CAA"/>
    <w:rsid w:val="004203E7"/>
    <w:rsid w:val="00433DAD"/>
    <w:rsid w:val="004466A0"/>
    <w:rsid w:val="00452998"/>
    <w:rsid w:val="0046483F"/>
    <w:rsid w:val="00467540"/>
    <w:rsid w:val="00482603"/>
    <w:rsid w:val="004944D5"/>
    <w:rsid w:val="00497C20"/>
    <w:rsid w:val="004B6E00"/>
    <w:rsid w:val="004C0159"/>
    <w:rsid w:val="004C31F6"/>
    <w:rsid w:val="004C60C4"/>
    <w:rsid w:val="004D4846"/>
    <w:rsid w:val="004E3119"/>
    <w:rsid w:val="004E5A1D"/>
    <w:rsid w:val="004E74DA"/>
    <w:rsid w:val="005003A0"/>
    <w:rsid w:val="00523B02"/>
    <w:rsid w:val="00524BFD"/>
    <w:rsid w:val="005256C0"/>
    <w:rsid w:val="00525F54"/>
    <w:rsid w:val="00537199"/>
    <w:rsid w:val="005529E1"/>
    <w:rsid w:val="00561723"/>
    <w:rsid w:val="00567EA6"/>
    <w:rsid w:val="00572852"/>
    <w:rsid w:val="00574B34"/>
    <w:rsid w:val="0058034F"/>
    <w:rsid w:val="005966AB"/>
    <w:rsid w:val="0059785F"/>
    <w:rsid w:val="005A2632"/>
    <w:rsid w:val="005A2C93"/>
    <w:rsid w:val="005A6234"/>
    <w:rsid w:val="005C2A8B"/>
    <w:rsid w:val="005C2E05"/>
    <w:rsid w:val="005C78D9"/>
    <w:rsid w:val="005C7F82"/>
    <w:rsid w:val="005D285F"/>
    <w:rsid w:val="005D534B"/>
    <w:rsid w:val="005E2B87"/>
    <w:rsid w:val="005F5401"/>
    <w:rsid w:val="00600472"/>
    <w:rsid w:val="0060088B"/>
    <w:rsid w:val="00600A63"/>
    <w:rsid w:val="00615BB4"/>
    <w:rsid w:val="00620D42"/>
    <w:rsid w:val="00623DF2"/>
    <w:rsid w:val="006457F2"/>
    <w:rsid w:val="00651934"/>
    <w:rsid w:val="00651D4F"/>
    <w:rsid w:val="00664357"/>
    <w:rsid w:val="00665111"/>
    <w:rsid w:val="00671D14"/>
    <w:rsid w:val="00681F12"/>
    <w:rsid w:val="00684B30"/>
    <w:rsid w:val="0068514E"/>
    <w:rsid w:val="00686B48"/>
    <w:rsid w:val="00692104"/>
    <w:rsid w:val="00695B9B"/>
    <w:rsid w:val="006A4F8B"/>
    <w:rsid w:val="006B60F9"/>
    <w:rsid w:val="006C4B76"/>
    <w:rsid w:val="006E5D5F"/>
    <w:rsid w:val="006E5FE2"/>
    <w:rsid w:val="006E6314"/>
    <w:rsid w:val="00721036"/>
    <w:rsid w:val="0072507B"/>
    <w:rsid w:val="00736E51"/>
    <w:rsid w:val="00746861"/>
    <w:rsid w:val="00746F4F"/>
    <w:rsid w:val="00750EE3"/>
    <w:rsid w:val="007547BB"/>
    <w:rsid w:val="00774A4B"/>
    <w:rsid w:val="00775F74"/>
    <w:rsid w:val="00785A89"/>
    <w:rsid w:val="00787DA8"/>
    <w:rsid w:val="007947CC"/>
    <w:rsid w:val="00796BFD"/>
    <w:rsid w:val="007B5DBD"/>
    <w:rsid w:val="007B6011"/>
    <w:rsid w:val="007C63F0"/>
    <w:rsid w:val="007E601B"/>
    <w:rsid w:val="007E6756"/>
    <w:rsid w:val="007F7F31"/>
    <w:rsid w:val="0080189A"/>
    <w:rsid w:val="00812AFA"/>
    <w:rsid w:val="00837BBE"/>
    <w:rsid w:val="008467C5"/>
    <w:rsid w:val="0086399E"/>
    <w:rsid w:val="008644A0"/>
    <w:rsid w:val="00864D00"/>
    <w:rsid w:val="008678E7"/>
    <w:rsid w:val="00871391"/>
    <w:rsid w:val="008769BC"/>
    <w:rsid w:val="008A7539"/>
    <w:rsid w:val="008C7A3B"/>
    <w:rsid w:val="008D04CD"/>
    <w:rsid w:val="008D5CC2"/>
    <w:rsid w:val="008E7807"/>
    <w:rsid w:val="00900023"/>
    <w:rsid w:val="00907025"/>
    <w:rsid w:val="009079D9"/>
    <w:rsid w:val="00910156"/>
    <w:rsid w:val="009172AE"/>
    <w:rsid w:val="00932D89"/>
    <w:rsid w:val="00947B4D"/>
    <w:rsid w:val="0096768A"/>
    <w:rsid w:val="009724F6"/>
    <w:rsid w:val="00980D1E"/>
    <w:rsid w:val="0098390C"/>
    <w:rsid w:val="00993B6A"/>
    <w:rsid w:val="009A2C96"/>
    <w:rsid w:val="009A7A12"/>
    <w:rsid w:val="009C5A63"/>
    <w:rsid w:val="009C76ED"/>
    <w:rsid w:val="009D1238"/>
    <w:rsid w:val="009F1E4B"/>
    <w:rsid w:val="009F3EFB"/>
    <w:rsid w:val="00A02F96"/>
    <w:rsid w:val="00A16CE2"/>
    <w:rsid w:val="00A352FE"/>
    <w:rsid w:val="00A442F3"/>
    <w:rsid w:val="00A5055B"/>
    <w:rsid w:val="00A57DA1"/>
    <w:rsid w:val="00A6794B"/>
    <w:rsid w:val="00A75F12"/>
    <w:rsid w:val="00A8128F"/>
    <w:rsid w:val="00A816A6"/>
    <w:rsid w:val="00A81C8B"/>
    <w:rsid w:val="00A94F3A"/>
    <w:rsid w:val="00A97155"/>
    <w:rsid w:val="00AB0AC9"/>
    <w:rsid w:val="00AC23DE"/>
    <w:rsid w:val="00AD28A5"/>
    <w:rsid w:val="00AF5AB5"/>
    <w:rsid w:val="00B12F17"/>
    <w:rsid w:val="00B1583A"/>
    <w:rsid w:val="00B16A5E"/>
    <w:rsid w:val="00B249E8"/>
    <w:rsid w:val="00B30445"/>
    <w:rsid w:val="00B3099A"/>
    <w:rsid w:val="00B30AAC"/>
    <w:rsid w:val="00B30D1A"/>
    <w:rsid w:val="00B57ACD"/>
    <w:rsid w:val="00B60DB3"/>
    <w:rsid w:val="00B77A0F"/>
    <w:rsid w:val="00B81177"/>
    <w:rsid w:val="00B83E78"/>
    <w:rsid w:val="00B85E03"/>
    <w:rsid w:val="00B9584F"/>
    <w:rsid w:val="00BA506B"/>
    <w:rsid w:val="00BB487A"/>
    <w:rsid w:val="00BC4543"/>
    <w:rsid w:val="00BD688C"/>
    <w:rsid w:val="00BD6F0E"/>
    <w:rsid w:val="00C00364"/>
    <w:rsid w:val="00C00A8E"/>
    <w:rsid w:val="00C0238A"/>
    <w:rsid w:val="00C26393"/>
    <w:rsid w:val="00C27AF9"/>
    <w:rsid w:val="00C31E7D"/>
    <w:rsid w:val="00C406ED"/>
    <w:rsid w:val="00C44DE9"/>
    <w:rsid w:val="00C53AD0"/>
    <w:rsid w:val="00C60B40"/>
    <w:rsid w:val="00C903DE"/>
    <w:rsid w:val="00C93126"/>
    <w:rsid w:val="00CA30A6"/>
    <w:rsid w:val="00CA7A60"/>
    <w:rsid w:val="00CB6776"/>
    <w:rsid w:val="00CE04CC"/>
    <w:rsid w:val="00CE4361"/>
    <w:rsid w:val="00CE60AC"/>
    <w:rsid w:val="00CF14BD"/>
    <w:rsid w:val="00CF5C92"/>
    <w:rsid w:val="00D02AA6"/>
    <w:rsid w:val="00D1431D"/>
    <w:rsid w:val="00D14B43"/>
    <w:rsid w:val="00D17F29"/>
    <w:rsid w:val="00D34E8D"/>
    <w:rsid w:val="00D41180"/>
    <w:rsid w:val="00D436D1"/>
    <w:rsid w:val="00D46149"/>
    <w:rsid w:val="00D46C11"/>
    <w:rsid w:val="00D53187"/>
    <w:rsid w:val="00D651B6"/>
    <w:rsid w:val="00D65840"/>
    <w:rsid w:val="00D71302"/>
    <w:rsid w:val="00D76D68"/>
    <w:rsid w:val="00D81E23"/>
    <w:rsid w:val="00D92529"/>
    <w:rsid w:val="00D962ED"/>
    <w:rsid w:val="00DA4BAA"/>
    <w:rsid w:val="00DC25B2"/>
    <w:rsid w:val="00E13109"/>
    <w:rsid w:val="00E2556F"/>
    <w:rsid w:val="00E25C04"/>
    <w:rsid w:val="00E368BA"/>
    <w:rsid w:val="00E36A1B"/>
    <w:rsid w:val="00E36D3B"/>
    <w:rsid w:val="00E43197"/>
    <w:rsid w:val="00E555E7"/>
    <w:rsid w:val="00E6461F"/>
    <w:rsid w:val="00E819F3"/>
    <w:rsid w:val="00E830CB"/>
    <w:rsid w:val="00E94494"/>
    <w:rsid w:val="00EA43C2"/>
    <w:rsid w:val="00EA441A"/>
    <w:rsid w:val="00EA7694"/>
    <w:rsid w:val="00EB0545"/>
    <w:rsid w:val="00EB16AA"/>
    <w:rsid w:val="00EC123A"/>
    <w:rsid w:val="00EC7F10"/>
    <w:rsid w:val="00EF258D"/>
    <w:rsid w:val="00F04334"/>
    <w:rsid w:val="00F0572A"/>
    <w:rsid w:val="00F12337"/>
    <w:rsid w:val="00F14001"/>
    <w:rsid w:val="00F1436B"/>
    <w:rsid w:val="00F16D93"/>
    <w:rsid w:val="00F23BB8"/>
    <w:rsid w:val="00F2734A"/>
    <w:rsid w:val="00F416E7"/>
    <w:rsid w:val="00F43C28"/>
    <w:rsid w:val="00F50CB8"/>
    <w:rsid w:val="00F62C80"/>
    <w:rsid w:val="00F676E5"/>
    <w:rsid w:val="00F749DB"/>
    <w:rsid w:val="00F77E25"/>
    <w:rsid w:val="00F801B9"/>
    <w:rsid w:val="00F80AF5"/>
    <w:rsid w:val="00F844B6"/>
    <w:rsid w:val="00F85B78"/>
    <w:rsid w:val="00F900BC"/>
    <w:rsid w:val="00FA08B2"/>
    <w:rsid w:val="00FA52A6"/>
    <w:rsid w:val="00FA7EC0"/>
    <w:rsid w:val="00FB16E8"/>
    <w:rsid w:val="00FB47BE"/>
    <w:rsid w:val="00FC0766"/>
    <w:rsid w:val="00FD34BC"/>
    <w:rsid w:val="00FF0B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E65F3"/>
  <w15:docId w15:val="{1CECD6ED-AD0A-41DE-867F-08FC5C9E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D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iPriority w:val="99"/>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paragraph" w:customStyle="1" w:styleId="Body">
    <w:name w:val="Body"/>
    <w:rsid w:val="00651D4F"/>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480/oj/?locale=LV" TargetMode="External"/><Relationship Id="rId13" Type="http://schemas.openxmlformats.org/officeDocument/2006/relationships/hyperlink" Target="http://eur-lex.europa.eu/eli/reg/2014/651/oj/?locale=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27825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ur-lex.europa.eu/eli/reg/2014/480/oj/?local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651/oj/?locale=LV" TargetMode="External"/><Relationship Id="rId5" Type="http://schemas.openxmlformats.org/officeDocument/2006/relationships/webSettings" Target="webSettings.xml"/><Relationship Id="rId15" Type="http://schemas.openxmlformats.org/officeDocument/2006/relationships/hyperlink" Target="http://eur-lex.europa.eu/eli/reg/2014/651/oj/?locale=LV" TargetMode="External"/><Relationship Id="rId10" Type="http://schemas.openxmlformats.org/officeDocument/2006/relationships/hyperlink" Target="http://eur-lex.europa.eu/eli/reg/2014/480/oj/?locale=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ur-lex.europa.eu/eli/reg/2013/1303/oj/?locale=LV" TargetMode="External"/><Relationship Id="rId14" Type="http://schemas.openxmlformats.org/officeDocument/2006/relationships/hyperlink" Target="http://eur-lex.europa.eu/eli/reg/2014/480/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AAB1F-7152-4C65-BCFF-B24ADD4A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2</Pages>
  <Words>2728</Words>
  <Characters>1555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Grozījums Ministru kabineta 2016. gada 21. jūnija noteikumos Nr. 404 "Darbības programmas "Izaugsme un nodarbinātība" prioritārā virziena "Ilgtspējīga transporta sistēma" 6.2.1. specifiskā atbalsta mērķa "Nodrošināt konkurētspējīgu un videi draudzīgu TEN-</vt:lpstr>
    </vt:vector>
  </TitlesOfParts>
  <Company>Satiksmes ministrija</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Noteikumu projekts</dc:subject>
  <dc:creator>Laura.Muizniece@sam.gov.lv;Atis.Jekabsons@sam.gov.lv</dc:creator>
  <cp:keywords>Ministru kabineta noteikumu grozījumu projekts</cp:keywords>
  <dc:description>67028006, laura.muizniece@sam.gov.lv</dc:description>
  <cp:lastModifiedBy>Laura Muižniece</cp:lastModifiedBy>
  <cp:revision>12</cp:revision>
  <cp:lastPrinted>2020-02-11T09:28:00Z</cp:lastPrinted>
  <dcterms:created xsi:type="dcterms:W3CDTF">2020-08-06T13:29:00Z</dcterms:created>
  <dcterms:modified xsi:type="dcterms:W3CDTF">2020-11-12T07:34:00Z</dcterms:modified>
</cp:coreProperties>
</file>