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2.4. reformu un investīciju virziena "Digitālās infrastruktūras transformācija" 2.4.1.1.i. investīcijas "Pasīvās infrastruktūras izbūve Via Baltica koridorā 5G pārklājuma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Atveseļošanas un noturības mehānisma plāna 2.4. reformu un investīciju virziena "Digitālās infrastruktūras transformācija" 2.4.1.1.i. investīcijas "Pasīvās infrastruktūras izbūve Via Baltica koridorā 5G pārklājuma nodrošināšanai" (2.4.1.1.i. investīcija) mērķi, rādītājus un atskaites punktus;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pieejamo finansējumu un maksājumu veikšanas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2.4.1.1.i. investīcijas īstenošanas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atbalstāmās darbības un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atbildības sadalījumu starp iesaistītajām institūcijām un finansējuma saņēmēju;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vizuālās identitātes prasības;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dokumentu glabāšanas nosacījumus un ilgumu;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komercdarbības atbalsta nosacījumus un piemērojamo regulējumu.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2.4.1.1.i. investīcija – Latvijas Atveseļošanas un noturības mehānisma plāna 2.4.1.1.i. investīcija "Pasīvās infrastruktūras izbūve Via Baltica koridorā 5G pārklājuma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mobilo sakaru mezglu punkti – tornis, masts vai cita būve, kurā tiek izvietotas mobilo sakaru bāzes stacijas.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 jeb 5G koridors – pasīvā elektronisko sakaru infrastruktūra (optisko kabeļu tīkli, to pieslēgumi mobilo sakaru mezglu punktiem, mobilo sakaru mezglu punkti un energoapgādes tīkli) autoceļam Via Baltica.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Autoceļš Via Baltica – ir E67 autoceļš Latvijas teritorijā, kas sastāv no sekojošiem ceļa posmiem: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A7 autoceļa (Rīga-Lietuvas robeža) posms: Grenctāles (Latvijas/Lietuvas robeža) caur Bauskas un Iecavas pilsētām līdz Rīgas apvedceļam Salaspils-Babīte (A5 – Ķekavas rotācijas aplis);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A5 autoceļa (Rīgas apvedceļš, Salaspils-Babīte) posms: A5 un A7 autoceļu krustojums (rotācijas aplis pie Ķekavas) – A5 krustojums ar A6 autoceļu (Rīga-Daugavpils) pie Salaspils, (šķērsojot Rīgas HES);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A6 autoceļa (Rīga-Daugavpils) posms: A6 autoceļa krustojums ar A5 autoceļu pie Salaspils – A6 autoceļa krustojums ar A4 autoceļu (Rīgas apvedceļš);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A4 autoceļa (Rīgas apvedceļš) posms,  A4 autoceļa (Rīgas apvedceļš) krustojums ar A6 autoceļu (Rīga-Daugavpils) pie Salaspils – A4 krustojums ar A2 autoceļu (Rīga-Sigulda);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A1 autoceļš (Baltezers-Igaunijas robeža (Ainaži)), A4 autoceļa (Rīgas apvedceļš) krustojums ar A2 autoceļu (Rīga-Sigulda) – Baltezers-Salacgrīva- Ainaži (Latvijas/Igaunijas robeža).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Līgums par projekta īstenošanu – līgums starp atbalsta sniedzēju un finansējuma saņēmēju un projekta īstenotāju.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Optiskā tīkla pamattrase ir optiskā tīkla infrastruktūra, kas tiks izveidota autoceļa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minētajos ceļa posmos.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2.4.1.1.i. investīcijas ietvaros nozares ministrijas funkcijas pilda Satiksmes ministrija.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2.4.1.1.i. investīcijas atbalsta sniedzējs ir nozares ministrija.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2.4.1.1.i. investīcija tiks īstenota ierobežotas projektu iesniegumu atlases ietvaros un atbalsts tiek sniegts granta veidā.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2.4.1.1.i. investīcijas finansējuma saņēmējs un projekta īstenotājs ir valsts akciju sabiedrību sabiedrība "Latvijas Valsts radio un televīzijas centrs".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2.4.1.1. investīcijas optisko kabeļu tīkli tiek ieviesti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minētajos ceļa posmos, un mobilo sakaru mezglu punkti, optisko kabeļu tīkla pieslēgumi mobilo sakaru mezglu punktiem un energoapgādes tīkliem to pieguļošajās teritorijās.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2.4.1.1. investīcijai ir šāda sasaiste ar: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atklātas stratēģiskās autonomijas un drošības jautājumiem, ņemot vērā, ka 2.4.1.1. investīcija atbalstīs ES digitālās suverenitātes mērķus;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pārrobežu un daudzvalstu projektiem, ņemot vērā, ka Latvija ir noslēgusi sadarbības memorandu ar Igauniju un Lietuvu par autoceļa Via Baltica attīstību, un 2.4.1.1. investīcija būs papildinoša Eiropas Savienības līmeņa "5G koridoru" iniciatīvai, sniedzot pozitīvu ietekmi ārpus Latvijas robežām;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digitālo dimensiju, ņemot vērā, ka 2.4.1.1. investīcija ir 100% vērsta uz digitālo mērķu sasniegšanu.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2.4.1.1.i. investīcijas mērķis un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2.4.1.1.i. investīcijas mērķis ir 5G koridora ieviešana saskaņā ar 5G rīcības plānu Eiropai, sākotnēji koncentrējoties uz Via Baltica kā izmēģinājuma projektu, lai nākotnē attīstītu citus ceļa posmus. Tālākā attīstības posmā ar privāto investīciju ieguldījumu plānots izvietot aktīvo infrastruktūru un nodrošināt 5G pakalpojumus, t.sk. sinerģijā ar Eiropas infrastruktūras savienošanas instrumentu.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2.4.1.1.i.investīcijas ietvaros sasniedzami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Tehnisko prasību pieņemšana infrastruktūrai, lai atbalstītu savienoto un automatizēto braukšanu autoceļa Via Baltica Latvijas teritorijā, līdz 2021. gada 30. decembrim (atskaites punkts);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Optisko tīklu pieejamība Via Baltica trasē (100%) līdz 2025. gada 31. decembrim (mērķrādītājs).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noteiktā atskaites punkta sasniegšanu pamatos dokuments, kurā aprakstīts, kā tika atbilstīgi izpildīts atskaites punkts (tostarp visi būtiskie elementi), iekļauj šādu dokumentāru pierādījumu: vienotās tehniskās prasības infrastruktūrai (attiecībā uz optisko tīklu, sakaru torņiem, energoapgādes tīkliem u.c.), lai atbalstītu savienoto un automatizēto braukšanu autoceļa Via Baltica Latvijas posmā.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noteikto mērķarādītāja sasniegšanu pamatos dokuments, kurā aprakstīts, kā tika atbilstīgi izpildīts mērķrādītājs (tostarp visi elementi), iekļauj šādus dokumentārus pierādījumus: izbūvētā optiskā tīkla pabeigšanas apliecinājumu kopiju (pieņemšanas un nodošanas akts), projekta īstenotāja apstiprinājumu par to, ka optiskie tīkli ir pieejami visā autoceļa Via Baltica trases garumā, un atbalsta sniedzēja apstiprinājumu un investīcijas kartējumu.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Pieejamais finansējums un maksājumu veikšanas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2.4.1.1.i. investīcijas īstenošanai pieejamais Atveseļošanas fonda finansējums ir 12 500 000 euro.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2.4.1.1.i. investīcijas projekta īstenošanas laikā finansējuma saņēmējs var saņemt: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maksājumu ne vairāk kā 30% no projektā paredzētā Atveseļošanas fonda finansējuma apmēra saskaņā ar projektā noslēgto pakalpojumu, preču piegādes vai būvdarbu līgumiem. Atbalsta sniedzējs, pamatojoties uz finansējuma saņēmēja pieprasījumu un atbilstoši projekta finansēšanas plānam, avansa maksājumu var piešķirt vairākos maksājumos;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starpposma maksājumus proporcionāli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minētā investīcijas mērķa sasniegšanai ar nosacījumu, ka noteiktajā optiskā tīkla posmā pabeigti darbi, kas saistīti ar mobilo sakaru mezglu punktu pieslēgšanu optiskā tīkla pamattrasei, pamatojoties uz finansējuma saņēmēja iesniegto un atbalsta sniedzēja apstiprināto progresa ziņojumu Kohēzijas politikas fondu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noslēguma maksājumu, ievērojot, ka ir atbalstāma kumulatīvi 100% finansējuma atmaksa saskaņā ar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minētā investīcijas mērķa sasniegšanu ar nosacījumu, ka pabeigti darbi, kas saistīti ar mobilo sakaru mezglu punktu pieslēgšanu optiskā tīkla pamattrasei.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piešķirtā avansa un starpposma maksājumu summa nepārsniedz 90% no kopējā projekta finansējuma. Finansējuma saņēmējs nākamo avansa maksājumu var saņemt pēc tam, kad iepriekšējais ir apgūts pilnā apmērā.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saņēmējam projekta ietvaros ir iespēja ieplānot neatkarīga revidenta/iekšējā auditora iesaisti, lai apliecinātu atskaites punkta un/vai mērķa sasniegšanu un izmaksu pamatotību. Neatkarīga revidenta/iekšējā audita izmaksas ir attiecināmas finansēšanai no Atveseļošanas fonda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2.4.1.1.i. investīcijas atbalstāmās darbības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Optiskā tīkla pamattrases (atvilces maršrutēšanas tīkla) infrastruktūras izbūve visā autoceļa Via Baltica garumā;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Optiskā tīkla infrastruktūras pieslēgumu izbūve no pamattrases līdz esošajiem mobilo sakaru mezgla punktiem;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sakaru torņu būvniecība ar pasīvās infrastruktūras pieslēgumu izveidi (t.sk. pasīvās infrastruktūras darbības un piekļuves monitoringa infrastruktūra);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optiskā tīkla un sakaru torņu infrastruktūras (t.sk. energoapgādes tīkla) projektēšanas un būvniecības procesa vadības un kontroles nodrošināšana.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2.4.1.1.i. investīcijas attiecināmās izmaksas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pasīvās infrastruktūras būvniecības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projektēšanas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ekspertīžu un izpētes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būvmateriālu un būvdarbu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elektroapgādes sadales sistēmas operatora pieslēguma izveides, t.sk. ierīkošanas būvprojekta izstrādes,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sakaru torņu un ar to saistītās infrastruktūras izveides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uzraudzības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pasīvās infrastruktūras testēšanas izmaksas, tostarp testēšanas dokumentācijas izstrādes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pasīvās infrastruktūras darbības un piekļuves kontroles iekārtu iegādes un uzstādīšanas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pasīvās infrastruktūras būvniecībai nepieciešamo zemes gabalu iegāde un ar to saistītās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personāla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Izmaksas ir attiecināmas, ja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veiktas, ievērojot normatīvajos aktos publisko iepirkumu jomā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veiktas, pamatojoties uz noslēgtu pakalpojuma, uzņēmuma līgumu vai darba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faktiski veiktas, norādītas finansējuma saņēmēja grāmatvedības uzskaitē, identificējamas, nodalītas no pārējām izmaksām, pārbaudāmas, kā arī tās apliecina attiecīgi attaisnojuma dokumenti (oriģināli vai attiecīgo dokumentu normatīvajos aktos noteiktā kārtībā apliecinātas kopijas);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nepieciešamas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darbību īstenošanai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mērķa sasniegšanai un ir paredzētas apstiprinātajā projekta iesniegumā;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 drošas finanšu vadības principam;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veiktas periodā, kas noteikts līgumā par projekta īstenošanu, bet nav veiktas agrāk par dienu, kad Eiropas Komisija ir pieņēmusi lēmumu par 2.4.1.1.i. investīcijas saderību ar Līgumu par Eiropas Savienības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uzskaiti un informācijas sniegšanu nozares ministrijai par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noteikto rādītāju saskaņā ar līgumu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attiecināt izmaksas var par tādām darbībām, kas uz projekta īstenošanas līguma noslēgšanas brīdi nav pabeigtas;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2.4.1.1.i. investīcijas attiecināmās izmaksas ir tieši attiecināmas uz Digitālo dimensiju, kas noteikta Eiropas Parlamenta un Padomes 2021. gada 12. februāra regulas Nr. 2021/241 ar ko izveido Atveseļošanas un noturības mehānismu 16.panta 2.punkta (b) daļas ii) apakšpunktā.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Atbildības sadalījums starp iesaistītajām institūcijām un finansējuma saņēmēju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Atbalsta sniedzējs slēdz līgumu ar finansējuma saņēmēju par projekta īstenošanu, tai skaitā rādītāju, mērķa sasniegšanu, un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finansējuma pārvaldīšanu, izlietošanas un uzraudzības kārtību.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īsteno 2.4.1.1.i. investīciju saskaņā ar šo noteikumu nosacījumiem un līgumu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2.4.1.1.i. investīcijas projekta iesnieguma veidlapas aizpildīšanu atbilstoši Kohēzijas politikas fondu vadības informācijas sistēmā pieejamajiem laukiem saskaņā ar līgumu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uzskaiti un informācijas sniegšanu nozares ministrijai par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noteikto rādītāju uzskaiti saskaņā ar līgumu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reizi ceturksnī vai pēc nozares ministrijas pieprasījuma atskaiti par 2.4.1.1.i. investīcijas mērķu sasniegšanas progresu saskaņā ar līgumu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plāna, t.sk. informāciju par jau noslēgtiem iepirkumu līgumiem un citiem ar projekta īstenošanu saistītiem līgumiem, un plānoto maksājumu pieprasījumu grafiku saskaņā ar projekta īstenošanas līgumu, aktualizējot to Kohēzijas politikas fondu vadības informācijas sistēmā, nekavējoties pēc izmaiņu identificēšanas;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iesniegšanu maksājumu pieprasījumam, tai skaitā pamatojošo dokumentāciju saskaņā ar līgumu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sniegšanu pārbaužu veikšanai pēc nozares ministrijas pieprasījuma;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piekļuves tarifu projekta un tā aprēķināšanas metodikas projekta iesniegšanu nozares ministrijai vismaz reizi trijos gados;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 projektā plānotie darbi netiek finansēti, kā arī tos nav plānots finansēt no citiem valsts, pašvaldības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tiesības uz konkrēto objektu vai īpašumu, kurā plānots veikt ieguldījumus ir īpašumā, ilgtermiņa nomā vai nodibinātas apbūves tiesības, bezatlīdzības lietošanā, valdījumā. Finansējuma saņēmēja tiesības uz konkrēto objektu vai īpašumu ir nostiprinātas valsts vienotajā datorizētajā Zemesgrāmatā, izņemot, ja nacionālais normatīvais regulējums nosaka citu kārtību.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īstenošanu līdz 2025. gada 31. decembrim un projekta noslēguma dokumentācijas iesniegšanu nozares ministrijai līdz 2026. gada 31. janvārim;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nodrošināt, ka neiestājas korupcijas, krāpšanas un interešu konflikta risks.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gadījumā, ja Kohēzijas politikas fondu vadības informācijas sistēmas funkcionalitāte informācijas ievadei nav pieejama, šo noteikumu </w:t>
      </w:r>
      <w:r w:rsidR="00000000" w:rsidRPr="00000000" w:rsidDel="00000000">
        <w:rPr>
          <w:rtl w:val="0"/>
        </w:rPr>
        <w:t xml:space="preserve">23.1. apakšpunktā</w:t>
      </w:r>
      <w:r w:rsidR="00000000" w:rsidRPr="00000000" w:rsidDel="00000000">
        <w:rPr>
          <w:rtl w:val="0"/>
        </w:rPr>
        <w:t xml:space="preserve"> un </w:t>
      </w:r>
      <w:r w:rsidR="00000000" w:rsidRPr="00000000" w:rsidDel="00000000">
        <w:rPr>
          <w:rtl w:val="0"/>
        </w:rPr>
        <w:t xml:space="preserve">23.4. apakšpunktā</w:t>
      </w:r>
      <w:r w:rsidR="00000000" w:rsidRPr="00000000" w:rsidDel="00000000">
        <w:rPr>
          <w:rtl w:val="0"/>
        </w:rPr>
        <w:t xml:space="preserve"> minēto informāciju iesniedz nozares ministrijai elektroniska dokumenta veidā, kas parakstīts ar drošu elektronisko parakstu.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20 gadus pēc projekta ietvaros izveidotās infrastruktūras pieņemšanas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tiesīgs nodrošināt interneta piekļuves pakalpojumu sniegšanu galalietotājiem, datu pārraides piekļuves pakalpojumu sniegšanu galalietotājiem un balss telefonijas pakalpojumu sniegšanu galalietotājiem , izmantojot ar 2.4.1.1.i. investīcijas palīdzību izveidoto infrastruktūru. Minētie ierobežojumi neattiecas uz pakalpojumiem, kas ir saistīti ar valsts aizsardzības un drošības funkciju, valsts suverenitātes nodrošināšanu, kā arī citiem pakalpojumiem, ko nosaka normatīvajos aktos noteiktā kārtībā finansējuma saņēmējam piešķirts deleģējums, saskaņā ar kuru finansējuma saņēmējs veic valsts pārvaldes funkcijas vai uzdevumus;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nedrīkst gūt peļņu no izveidotās infrastruktūras izmantošanas, nodrošinot, ka projekta ietvaros gūtie ieņēmumi un izdevumi ir līdzsvarā. Finansējuma saņēmējam jāatmaksā jebkāds iespējamais pārpalikums, kas iegūts no tīkla izmantošanas;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jebkuram elektronisko sakaru komersantam vienlīdzīgus piekļuves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sasniegto rezultātu uzturēšanu un nepieciešamos līdzekļus rezultātu uzturēšanai.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Saskaņā ar principa "Nenodarīt būtisku kaitējumu" novērtējumu 2.4.1.1.i. investīcijai nav konstatēta negatīva ietekme uz vidi. Finansējuma saņēmējs un projekta īstenotājs nodrošina, ka visi principa "Nenodarīt būtisku kaitējumu" nosacījumi, kas ietverti projekta iesniegumā, tiek ievēroti.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Nozares ministrija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atbalsta programmas saskaņošanu ar Eiropas Komisiju, ievērojot Eiropas Savienības un nacionālos normatīvos aktus komercdarbības atbalsta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iekšējās kontroles sistēmas īstenošanu, uzraudzību, pilnveidi un datu ticamības, izsekojamības, pamatotības un piekļuves nodrošināšanu, tostarp komercdarbības atbalsta nosacījumu ievērošanas nodrošināšanu, uzraudzību un risku pārvaldību atbilstoši iekšējiem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atbalsta programmas saskaņošanu ar Eiropas Komisiju, ievērojot Eiropas Savienības un nacionālos normatīvos aktus komercdarbības atbalsta jomā;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iesnieguma atbilstības novērtējumu šādām prasībām: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šo noteikumu </w:t>
      </w:r>
      <w:r w:rsidR="00000000" w:rsidRPr="00000000" w:rsidDel="00000000">
        <w:rPr>
          <w:rtl w:val="0"/>
        </w:rPr>
        <w:t xml:space="preserve">6. punktā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26.5. apakšpunktā</w:t>
      </w:r>
      <w:r w:rsidR="00000000" w:rsidRPr="00000000" w:rsidDel="00000000">
        <w:rPr>
          <w:rtl w:val="0"/>
        </w:rPr>
        <w:t xml:space="preserve"> izvirzītajām prasībām;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mērķis ir atbilstošs šo noteikumu </w:t>
      </w:r>
      <w:r w:rsidR="00000000" w:rsidRPr="00000000" w:rsidDel="00000000">
        <w:rPr>
          <w:rtl w:val="0"/>
        </w:rPr>
        <w:t xml:space="preserve">9.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rādītāji ir atbilstoši šo noteikumu </w:t>
      </w:r>
      <w:r w:rsidR="00000000" w:rsidRPr="00000000" w:rsidDel="00000000">
        <w:rPr>
          <w:rtl w:val="0"/>
        </w:rPr>
        <w:t xml:space="preserve">10. </w:t>
      </w:r>
      <w:r w:rsidR="00000000" w:rsidRPr="00000000" w:rsidDel="00000000">
        <w:rPr>
          <w:rtl w:val="0"/>
        </w:rPr>
        <w:t xml:space="preserve">punktam</w:t>
      </w:r>
      <w:r w:rsidR="00000000" w:rsidRPr="00000000" w:rsidDel="00000000">
        <w:rPr>
          <w:rtl w:val="0"/>
        </w:rPr>
        <w:t xml:space="preserve">;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izmaksas ir atbilstošas šo noteikumu </w:t>
      </w:r>
      <w:r w:rsidR="00000000" w:rsidRPr="00000000" w:rsidDel="00000000">
        <w:rPr>
          <w:rtl w:val="0"/>
        </w:rPr>
        <w:t xml:space="preserve">18.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darbības ir atbilstošas šo noteikumu </w:t>
      </w:r>
      <w:r w:rsidR="00000000" w:rsidRPr="00000000" w:rsidDel="00000000">
        <w:rPr>
          <w:rtl w:val="0"/>
        </w:rPr>
        <w:t xml:space="preserve">17. </w:t>
      </w:r>
      <w:r w:rsidR="00000000" w:rsidRPr="00000000" w:rsidDel="00000000">
        <w:rPr>
          <w:rtl w:val="0"/>
        </w:rPr>
        <w:t xml:space="preserve">punktam</w:t>
      </w:r>
      <w:r w:rsidR="00000000" w:rsidRPr="00000000" w:rsidDel="00000000">
        <w:rPr>
          <w:rtl w:val="0"/>
        </w:rPr>
        <w:t xml:space="preserve">;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iekļauts apraksts par saskaņu ar horizontālo principu "Nenodarīt būtisku kaitējumu";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ir iesniegts apliecinājums, ka projekta iesniedzēja rīcībā ir pietiekami un stabili finanšu resursi, lai nodrošinātu projekta īstenošanu un uzturēšanu.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 atbilstības novērtējumu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noteiktajiem izslēgšanas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līgumu slēgšanu par 2.4.1.1.i. investīcijas projekta īstenošanu atbilstoši normatīvajos aktos noteiktajām prasībām, ja izpildīti šo noteikumu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24.4. </w:t>
      </w:r>
      <w:r w:rsidR="00000000" w:rsidRPr="00000000" w:rsidDel="00000000">
        <w:rPr>
          <w:rtl w:val="0"/>
        </w:rPr>
        <w:t xml:space="preserve">apakšpunktā</w:t>
      </w:r>
      <w:r w:rsidR="00000000" w:rsidRPr="00000000" w:rsidDel="00000000">
        <w:rPr>
          <w:rtl w:val="0"/>
        </w:rPr>
        <w:t xml:space="preserve"> minētie nosacījumi, iekļaujot vismaz šādu informāciju: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ministrijas un finansējuma saņēmēja tiesības un pienākumi;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uzraudzības nosacījumi, tostarp atskaišu formas, atskaišu iesniegšana par mērķu sasniegšanas progresu, to pamatojošo dokumentācijas iesniegšanas un izskatīšanas kārtība, informācijas sniegšana pārbaužu veikšanai;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nosacījumi datu ievadei Kohēzijas politikas fondu vadības informācijas sistēmā, tostarp nosakot, kādi projekta iesnieguma datu lauki aizpildāmi;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pieprasīšanas un veikšanas kārtība;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projekta īstenošanu saistīto dokumentu uzglabāšanas termiņš;</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līguma darbības laiks, tā grozīšanas un izbeigšanas kārtība;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strīdu izšķiršanas kārtība.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nepieciešamo darbību veikšanu, lai nodrošinātu nozares ministrijai tiesību aktos noteikto pienākumu attiecībā uz finansējuma saņēmēju veikt attiecīgas korektīvās darbības, ievērojot </w:t>
      </w:r>
      <w:r w:rsidR="00000000" w:rsidRPr="00000000" w:rsidDel="00000000">
        <w:rPr>
          <w:rtl w:val="0"/>
        </w:rPr>
        <w:t xml:space="preserve">Ministru kabineta 2021. gada 7. septembra noteikumu Nr. 621 "Eiropas Savienības Atveseļošanas un noturības mehānisma plāna īstenošanas un uzraudzības kārtība"</w:t>
      </w:r>
      <w:r w:rsidR="00000000" w:rsidRPr="00000000" w:rsidDel="00000000">
        <w:rPr>
          <w:rtl w:val="0"/>
        </w:rPr>
        <w:t xml:space="preserve">  8. punktā noteikto uzdevumu izpildi, tajā skaitā attiecībā uz 2.4.1.1.i. investīcijas mērķrādītāja sasniegšanu, ja nozares ministrija konstatē, ka netiek ievērotas normatīvajos aktos un līgumā par projekta īstenošanu noteiktās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pieprasa projekta īstenošanai nepieciešamo finansējumu no budžeta programmas normatīvajos aktos noteiktajā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veic projekta noslēguma dokumentācijas pārbaudi un noslēguma maksājumu līdz 2026. gada 31. augustam;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budžeta līdzekļu plānošanu 2.4.1.1.i. investīcijas īstenošanai un valsts budžeta līdzekļu pieprasījumu sagatavošanu atbilstoši normatīvajos aktos par budžetu un finanšu vadību noteiktajam;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nodrošinātu 2.4.1.1.i. investīcijas iekšējās kontroles sistēmas īstenošanas novērtējumu, nozares ministrija veic uz risku novērtējumu balstītu vismaz vienu iekšējo auditu līdz 2026. gada 31. martam, aptverot šādus aspektus: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korupcijas un krāpšanas novēršana;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dubultfinansējuma riska novēršana;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starpposma rādītāja un mērķrādītāja pamatojošās dokumentācijas pārbaude, tostarp datu ticamības pārbaude.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sniegšanu Kohēzijas politikas fondu vadības informācijas sistēmā Latvijas Atveseļošanas un noturības mehānisma plāna īstenošanas progresa pusgada ziņojuma un maksājuma pieprasījuma sagatavošanai. Maksājumu pieprasījumu un izdevumus un sasniegto rādītāju pamatojošo dokumentu iesniegšanu Kohēzijas politikas fondu vadības informācijas sistēmā vismaz divas reizes gadā;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nozares ministrija veic projekta noslēguma dokumentācijas pārbaudi un noslēguma maksājuma veikšanu līdz 2026. gada 31. augustam;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var izmantot tiesības uz līguma par projekta īstenošanu vienpusēja uzteikuma nosacījumiem, kad: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vai vienošanos par projekta īstenošanu, tai skaitā netiek ievēroti projektā noteiktie termiņi vai ir iestājušies citi apstākļi, kas negatīvi ietekmē vai var ietekmēt investīcijas vai noteikto rādītāju sasniegšanu;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 vai vienošanās par projekta īstenošanu.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Vizuālās identitātes prasības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Nozares ministrija un valsts akciju sabiedrība "Latvijas Valsts radio un televīzijas centrs" nodrošina informācijas un publicitātes pasākumus par 2.4.1.1.i. investīciju saskaņā ar Eiropas Parlamenta un Padomes 2021. gada 12. februāra Regulas Nr. 2021/241 34. pantu un Eiropas Komisijas un Latvijas Republikas Atveseļošanas un noturības mehānisma finansēšanas nolīguma 10. pantu, kā arī Eiropas Savienības fondu 2021.-2027. gada plānošanas perioda un Atveseļošanas fonda komunikācijas un dizaina vadlīnijām.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Nozares ministrija un valsts akciju sabiedrība "Latvijas Valsts radio un televīzijas centrs" sagatavotajos 2.4.1.1.i. investīcijas projektā veikto publicitātes aktivitāšu (pasākumu) materiālos norāda Eiropas Savienības logo un attiecīgu finansējuma paziņojumu ar tekstu "finansē Eiropas Savienība – NextGenerationEU", ievērojot Regulas Nr. 2021/241 34. panta 2. apakšpunktā minēto.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akciju sabiedrība "Latvijas Valsts radio un televīzijas centrs" ne retāk kā reizi trijos mēnešos nodrošina aktuālās informācijas ievietošanu savā mājaslapā internetā par projekta īstenošanas gaitu, tostarp izbūvētās infrastruktūras kartējumu.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Dokumentu glabāšanas nosacījumi un ilgums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Valsts akciju sabiedrība "Latvijas Valsts radio un televīzijas centrs" nodrošina ar 2.4.1.1.i. investīcijas īstenošanu saistītās informācijas un dokumentu uzglabāšanu 10 gadus pēc projekta īstenošanas rezultātā izveidotās infrastruktūras pieņemšanas ekspluatācijā.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Nozares ministrija sadarbībā ar finansējuma saņēmēju nodrošina informācijas uzrādīšanu Ministru kabineta 2021. gada 7. septembra noteikumu Nr. 621 "Eiropas Savienības Atveseļošanas un noturības mehānisma plāna īstenošanas un uzraudzības kārtība" 2. punktā minētajām iestādēm, kā arī Latvijas Republikas un Eiropas Komisijas finansēšanas nolīgumā par Atveseļošanas un noturības mehānismu minētajām iestādēm.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Komercdarbības atbalsta nosacījumi un piemērojamais regulējums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Atbalsta instruments ir tiešā dotācija.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Maksimālā atbalsta summa individuālam projektam un pieļaujamais atbalsta apmērs ir 12 500 00 eiro darbībām un izmaksām, kas minētas </w:t>
      </w:r>
      <w:r w:rsidR="00000000" w:rsidRPr="00000000" w:rsidDel="00000000">
        <w:rPr>
          <w:rtl w:val="0"/>
        </w:rPr>
        <w:t xml:space="preserve">​</w:t>
      </w:r>
      <w:r w:rsidR="00000000" w:rsidRPr="00000000" w:rsidDel="00000000">
        <w:rPr>
          <w:rtl w:val="0"/>
        </w:rPr>
        <w:t xml:space="preserve">IV nodaļā</w:t>
      </w:r>
      <w:r w:rsidR="00000000" w:rsidRPr="00000000" w:rsidDel="00000000">
        <w:rPr>
          <w:rtl w:val="0"/>
        </w:rPr>
        <w:t xml:space="preserve">, un piemērojamā komercdarbības atbalsta intensitāte ir 100%.</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Pirms 2.4.1.1.i. investīcijas īstenošanas uzsākšanas nozares ministrija iesniedz paziņojumu saskaņā ar Līguma par Eiropas Savienības darbību (LESD) 108. panta 3. punktu.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Atbalstu aizliegts apvienot ar atbalstu vai de minimis atbalstu, ko saņem no cita vietējā, reģionālā vai valsts atbalsta un kas paredzēts, lai segtu tās pašas attiecināmās izmaksas.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Atbalsts nav paredzēts grūtībās nonākušam uzņēmumam, kas definēts </w:t>
      </w:r>
      <w:r w:rsidR="00000000" w:rsidRPr="00000000" w:rsidDel="00000000">
        <w:rPr>
          <w:rtl w:val="0"/>
        </w:rPr>
        <w:t xml:space="preserve">Pamatnostādņu par valsts atbalstu grūtībās nonākušu nefinanšu uzņēmumu glābšanai un pārstrukturēšanai 20. punktā</w:t>
      </w:r>
      <w:r w:rsidR="00000000" w:rsidRPr="00000000" w:rsidDel="00000000">
        <w:rPr>
          <w:rtl w:val="0"/>
        </w:rPr>
        <w:t xml:space="preserv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Stimulējošās ietekmes nosacījumu nodrošināšanai atbalstu nedrīkst piešķirt jau uzsāktiem projektiem, kā arī pirms projekta atlases procedūras uzsākšanas ir jābūt veiktai sabiedriskai apspriešanai ne vēlāk kā vienu gadu, kurā elektronisko sakaru komersantiem lūgts iesniegt pamatotu informāciju par to tīkliem, kuri atrodas vai kurus ticami plānots ierīkot mērķa teritorijā projekta īstenošanas laikā, publicējot informāciju Satiksmes ministrijas tīmekļa vietnē.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Atbalsts netiek sniegts saņēmējam, uz kuru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Atbalsta piešķiršanas brīdis ir līguma par projekta īstenošanu noslēgšana, ko noslēdz pēc tam, kad Eiropas Komisija ir pieņēmusi lēmumu par 2.4.1.1.i. investīcijas saderību ar Līgumu par Eiropas Savienības darbību.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Lēmumu par atbalsta piešķiršanu var pieņemt līdz 2026. gada 31. augustam.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Nozares ministrija publicē informāciju par sniegto komercdarbības atbalstu atbalsta Latvijas vienotajā tīmekļa vietnē valsts atbalsta pārredzamības prasības izpildei, kas ietverta Eiropas Savienības aktos valsts atbalsta kontroles jomā, ievērojot normatīvajos aktos noteikto kārtību.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Komercdarbības atbalsta sniedzējinstitūcija ir nozares ministrija, kas nodrošina komercdarbības atbalsta nosacījumu ievērošanu investīcijas 2.4.1.1.i. atbalsta programmu un atbalsta projektu izstrādē un īstenošanā.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Subsidēto elektronisko sakaru tīklu uzraudzības komiteja vismaz 20 gadus pēc projekta īstenošanas rezultātā izveidotās infrastruktūras pieņemšanas ekspluatācijā nodrošina 2.4.1.1.i. investīcijas uzraudzību un:</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un vismaz reizi trīs gados pārskata piekļuves tarifu projekta īstenošanas rezultātā izveidotajai infrastruktūrai un tā aprēķināšanas metodiku;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piekļuves nosacījumus 2.4.1.1.i. investīcijas īstenošanas rezultātā izveidotajai infrastruktūrai.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Subsidēto elektronisko sakaru tīklu uzraudzības komiteja ir koleģiāla institūcija, kuras sastāvā ir šādi komitejas locekļi ar balsstiesībām: </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nozares ministrijas pārstāvis – Subsidēto elektronisko sakaru tīklu uzraudzības komitejas priekšsēdētājs; </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ministrijas pārstāvis – Subsidēto elektronisko sakaru tīklu uzraudzības komitejas priekšsēdētāja vietnieks;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Pašvaldību savienības pārstāvis;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katra plānošanas reģiona pārstāvis (plānošanas reģionu pārstāvjiem komitejas sēdes balsošanā kopīgi ir viena balss);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Patērētāju tiesību aizsardzības centra pārstāvis;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Darba devēju konfederācijas pārstāvis un Latvijas Tirdzniecības un rūpniecības kameras pārstāvis (minēto organizāciju pārstāvjiem komitejas sēdēs kopīgi ir viena balss);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komunikācijas tehnoloģiju nozares asociāciju pārstāvji (informācijas un komunikācijas tehnoloģiju nozares asociāciju pārstāvjiem komitejas sēdes balsošanā kopīgi ir viena balss).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Subsidēto elektronisko sakaru tīklu uzraudzības komitejas sastāvā ar padomdevēja tiesībām var piedalīties: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pakalpojumu regulēšanas komisijas pārstāvis;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Konkurences padomes pārstāvis;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pārstāvis.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Subsidēto elektronisko sakaru tīklu uzraudzības komitejas sastāvā novērotāja statusā var piedalīties Finanšu ministrijas pārstāvis.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Subsidēto elektronisko sakaru tīklu uzraudzības komitejas sekretariāta funkcijas nodrošina nozares ministrija.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Subsidēto elektronisko sakaru tīklu uzraudzības komitejas darbību nosaka komitejas reglaments, kuru apstiprina nozares ministrijas valsts sekretārs.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Subsidēto elektronisko sakaru tīklu uzraudzības komitejai ir tiesības sniegt ierosinājumus nozares ministrijai.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Subsidēto elektronisko sakaru tīklu uzraudzības komiteja izvērtē saņemtos ierosinājumus un pieņem lēmumu, balsstiesīgajiem komitejas locekļiem savstarpēji vienojoties. Ja vienošanās nav panākta vai komitejas priekšsēdētājs uzskata balsošanu par nepieciešamu, lēmumu pieņem ar vienkāršu balsu vairākumu, balsojot atklāti. Ja balsu skaits sadalās vienādi, izšķirošā ir komitejas priekšsēdētāja balss.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Nozares ministrija līdz brīdim, kad finansējuma saņēmējs nelikumīgā un nesaderīgā atbalsta kopējo summu un attiecīgos procentus par atgūšanu ir atmaksājis vai iemaksājis bloķētā kontā, aptur paziņotā atbalsta piešķiršanu un/vai izmaksāšanu, ja finansējuma saņēmēja rīcībā joprojām ir iepriekšējs nelikumīgs atbalsts, kas ar Komisijas lēmumu ir atzīts par nesaderīgu.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22-TA-1495</w:t>
    </w:r>
    <w:r>
      <w:br/>
    </w:r>
    <w:r w:rsidR="00000000" w:rsidRPr="00000000" w:rsidDel="00000000">
      <w:rPr>
        <w:rtl w:val="0"/>
      </w:rPr>
      <w:t xml:space="preserve">Izdrukāts 29.07.2022.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22-TA-1495</w:t>
    </w:r>
    <w:r>
      <w:br/>
    </w:r>
    <w:r w:rsidR="00000000" w:rsidRPr="00000000" w:rsidDel="00000000">
      <w:rPr>
        <w:rtl w:val="0"/>
      </w:rPr>
      <w:t xml:space="preserve">Izdrukāts 29.07.2022.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noteikumu_projekts_22-TA-1495.docx</dc:title>
</cp:coreProperties>
</file>

<file path=docProps/custom.xml><?xml version="1.0" encoding="utf-8"?>
<Properties xmlns="http://schemas.openxmlformats.org/officeDocument/2006/custom-properties" xmlns:vt="http://schemas.openxmlformats.org/officeDocument/2006/docPropsVTypes"/>
</file>