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FB3B0" w14:textId="7934EE30" w:rsidR="00894C55" w:rsidRPr="00E6249A" w:rsidRDefault="0017564E" w:rsidP="00D1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E6249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Ministru kabineta noteikumu</w:t>
      </w:r>
      <w:r w:rsidR="00894C55" w:rsidRPr="00E6249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projekta</w:t>
      </w:r>
      <w:r w:rsidR="006B3D51" w:rsidRPr="00E6249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D169B2" w:rsidRPr="00E6249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"Grozījumi Ministru kabineta 2010. gada 21. decembra noteikumos Nr. 1171 "Noteikumi par Latvijas ūdeņu izmantošanas kārtību un kuģošanas režīmu tajos""</w:t>
      </w:r>
      <w:r w:rsidR="006B3D51" w:rsidRPr="00E6249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894C55" w:rsidRPr="00E6249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sākotnējās ietekmes novērtējuma ziņojums (anotācija)</w:t>
      </w:r>
    </w:p>
    <w:p w14:paraId="04BD305F" w14:textId="77777777" w:rsidR="00E5323B" w:rsidRPr="00E6249A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0"/>
        <w:gridCol w:w="6098"/>
      </w:tblGrid>
      <w:tr w:rsidR="00F05270" w:rsidRPr="00E6249A" w14:paraId="287BBE11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56049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E5323B" w:rsidRPr="00E6249A" w14:paraId="5AE9D4B9" w14:textId="77777777" w:rsidTr="007F6154">
        <w:trPr>
          <w:tblCellSpacing w:w="15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75B15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549C5" w14:textId="5A2D42CB" w:rsidR="00D169B2" w:rsidRPr="00E6249A" w:rsidRDefault="00085487" w:rsidP="0028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Ministru kabineta noteikumu projekta </w:t>
            </w:r>
            <w:r w:rsidR="00D169B2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"Grozījumi Ministru kabineta 2010. gada 21. decembra noteikumos Nr. 1171 "Noteikumi par Latvijas ūdeņu izmantošanas kārtību un kuģošanas režīmu tajos""</w:t>
            </w:r>
            <w:r w:rsidR="00D169B2"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(turpmāk </w:t>
            </w:r>
            <w:r w:rsidR="00D169B2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–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</w:t>
            </w:r>
            <w:r w:rsidR="007F6154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rojekt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s)</w:t>
            </w:r>
            <w:r w:rsidR="007F6154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mērķis ir</w:t>
            </w:r>
            <w:r w:rsidR="007F6154" w:rsidRPr="00E62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 xml:space="preserve"> </w:t>
            </w:r>
            <w:r w:rsidR="00D169B2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noteikt tiesisko regulējumu 2004. gada Starptautiskās konvencijas par kuģu balasta ūdens un nosēdumu kontroli un pārvaldību (tu</w:t>
            </w:r>
            <w:r w:rsidR="002C2540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rpmāk – Konvencija) īstenošanai, kā arī apmaiņas kārtību ar informāciju, kas saistīta ar </w:t>
            </w:r>
            <w:r w:rsidR="002C2540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jūras negadījumu vai incidentu</w:t>
            </w:r>
            <w:r w:rsidR="002C2540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1CAE045B" w14:textId="3FFBF50B" w:rsidR="00E5323B" w:rsidRPr="00E6249A" w:rsidRDefault="007F6154" w:rsidP="00D1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stāsies spēkā Oficiālo publikāciju un tiesiskās informācijas likuma 7. panta otrajā daļā noteiktajā kārtībā, proti, nākamajā dienā pēc tā izsludināšanas.</w:t>
            </w:r>
          </w:p>
        </w:tc>
      </w:tr>
    </w:tbl>
    <w:p w14:paraId="7CAF74D0" w14:textId="68EBFAA8" w:rsidR="00327E1E" w:rsidRPr="00E6249A" w:rsidRDefault="00327E1E" w:rsidP="00EA6E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0"/>
        <w:gridCol w:w="2510"/>
        <w:gridCol w:w="6098"/>
      </w:tblGrid>
      <w:tr w:rsidR="00F05270" w:rsidRPr="00E6249A" w14:paraId="5E6ED3DA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F892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F05270" w:rsidRPr="00E6249A" w14:paraId="0A71EF31" w14:textId="77777777" w:rsidTr="002A1895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231BA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A9D1D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A34A1" w14:textId="68857D00" w:rsidR="00E5323B" w:rsidRPr="00E6249A" w:rsidRDefault="00D169B2" w:rsidP="00636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Jūrlietu pārvaldes un jūras drošības likuma 7. panta otrā daļa un Konvencijas </w:t>
            </w:r>
            <w:r w:rsidR="007809FD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pielikuma C</w:t>
            </w:r>
            <w:r w:rsidR="007809FD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noBreakHyphen/>
              <w:t xml:space="preserve">2. </w:t>
            </w:r>
            <w:r w:rsidR="009B22B5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noteikuma 1. punkts</w:t>
            </w:r>
            <w:r w:rsidR="007809FD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F05270" w:rsidRPr="00E6249A" w14:paraId="507F70F2" w14:textId="77777777" w:rsidTr="002A1895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1D117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F323B" w14:textId="77777777" w:rsidR="00A90AEF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1566B0DE" w14:textId="77777777" w:rsidR="00A90AEF" w:rsidRPr="00E6249A" w:rsidRDefault="00A90AEF" w:rsidP="00A9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F9BE74D" w14:textId="77777777" w:rsidR="00A90AEF" w:rsidRPr="00E6249A" w:rsidRDefault="00A90AEF" w:rsidP="00A9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0546B8" w14:textId="77777777" w:rsidR="00A90AEF" w:rsidRPr="00E6249A" w:rsidRDefault="00A90AEF" w:rsidP="00A9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476E133" w14:textId="77777777" w:rsidR="00A90AEF" w:rsidRPr="00E6249A" w:rsidRDefault="00A90AEF" w:rsidP="00A9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FAA51FE" w14:textId="1FF23134" w:rsidR="00332A1C" w:rsidRPr="00E6249A" w:rsidRDefault="00332A1C" w:rsidP="00A9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C2F5D59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6BD2E8D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39104E3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BAC2BF0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2023927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417E06C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5F20A8C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E330441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49D6268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91BCA40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9564B98" w14:textId="74D4F72F" w:rsidR="00E5323B" w:rsidRPr="00E6249A" w:rsidRDefault="00E5323B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523A6" w14:textId="1AF1DBA9" w:rsidR="002C2540" w:rsidRPr="00E6249A" w:rsidRDefault="002C2540" w:rsidP="002C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lastRenderedPageBreak/>
              <w:t>I</w:t>
            </w:r>
            <w:r w:rsidR="00E6249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78BC2F8A" w14:textId="797F5C95" w:rsidR="004F2DA7" w:rsidRPr="00E6249A" w:rsidRDefault="002C2540" w:rsidP="004F2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2019. gada 11. janvārī</w:t>
            </w:r>
            <w:r w:rsidR="00DE244C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attiecībā uz Latvijas Republiku stājās spēkā Konvencija</w:t>
            </w:r>
            <w:r w:rsidR="00DE244C" w:rsidRPr="00E6249A">
              <w:rPr>
                <w:rStyle w:val="FootnoteReference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footnoteReference w:id="1"/>
            </w:r>
            <w:r w:rsidR="000248C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kuras</w:t>
            </w:r>
            <w:r w:rsidR="00DE244C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8E19D9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pielikuma C</w:t>
            </w:r>
            <w:r w:rsidR="008E19D9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noBreakHyphen/>
              <w:t>2. noteikuma 1. punkts</w:t>
            </w:r>
            <w:r w:rsidR="00DE244C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nosaka</w:t>
            </w:r>
            <w:r w:rsidR="00DE244C" w:rsidRPr="00E62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E244C" w:rsidRPr="00E82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pienākumu </w:t>
            </w:r>
            <w:r w:rsidR="002A5D65" w:rsidRPr="00E82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censties</w:t>
            </w:r>
            <w:r w:rsidR="002A5D65" w:rsidRPr="00E8247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DE244C" w:rsidRP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paziņot </w:t>
            </w:r>
            <w:r w:rsidR="005E707B" w:rsidRP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kuģu </w:t>
            </w:r>
            <w:r w:rsidR="005E70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personālam </w:t>
            </w:r>
            <w:r w:rsidR="00A70017" w:rsidRP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rajonu</w:t>
            </w:r>
            <w:r w:rsidR="00DE244C" w:rsidRP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</w:t>
            </w:r>
            <w:r w:rsidR="00DE244C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kur zināmu apstākļu dēļ kuģiem nevajadzētu uzņemt balasta ūdeni.</w:t>
            </w:r>
          </w:p>
          <w:p w14:paraId="572BBDCD" w14:textId="44D6BEBF" w:rsidR="00DE244C" w:rsidRPr="00E6249A" w:rsidRDefault="00CB1A2F" w:rsidP="004F2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</w:t>
            </w:r>
            <w:r w:rsidR="004F2DA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ikuma </w:t>
            </w:r>
            <w:r w:rsidR="008E19D9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BE3B41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Par 2004. gada Starptautisko konvenciju par kuģu balasta ūdens un nosēdumu kontroli un pārvaldību</w:t>
            </w:r>
            <w:r w:rsidR="008E19D9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BE3B41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4F2DA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11. pant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ā</w:t>
            </w:r>
            <w:r w:rsidR="000E69F8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ir</w:t>
            </w:r>
            <w:r w:rsidR="004F2DA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no</w:t>
            </w:r>
            <w:r w:rsidR="000E69F8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teiktas</w:t>
            </w:r>
            <w:r w:rsidR="004F2DA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iestādes, kuru kompetencē ietilpst sagatavot un izziņot brīdinājum</w:t>
            </w:r>
            <w:r w:rsidR="00E741F6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</w:t>
            </w:r>
            <w:r w:rsidR="00A61452" w:rsidRPr="00A614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A614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kuģu personālam</w:t>
            </w:r>
            <w:r w:rsidR="004F2DA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proti, </w:t>
            </w:r>
            <w:r w:rsidR="002C2540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pamatojoties uz Vides aizsardzības un reģionālās attīstības ministrijas vai Valsts vides dienesta sniegto informāciju, </w:t>
            </w:r>
            <w:r w:rsidR="004F2DA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Nacionālo bruņoto spēku Jūras spēku Krasta apsardzes dienests</w:t>
            </w:r>
            <w:r w:rsidR="0082760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(turpmāk – Krasta apsardzes dienests)</w:t>
            </w:r>
            <w:r w:rsidR="004F2DA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nodrošina Konvencijas pielikuma C-2. noteikuma 1. punktā paredzēto saistību izpildi.</w:t>
            </w:r>
          </w:p>
          <w:p w14:paraId="3D8D99DE" w14:textId="68595A1B" w:rsidR="00AF4CF5" w:rsidRPr="00E6249A" w:rsidRDefault="000E69F8" w:rsidP="0006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Likumprojekta </w:t>
            </w:r>
            <w:r w:rsidR="008E19D9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Par 2004. gada Starptautisko konvenciju par kuģu balasta ūdens un nosēdumu kontroli un pārvaldību</w:t>
            </w:r>
            <w:r w:rsidR="008E19D9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sākotnējās ietekmes novērtējuma ziņojumā (anotācijā)</w:t>
            </w:r>
            <w:r w:rsidR="000248C7" w:rsidRPr="00E6249A">
              <w:rPr>
                <w:rStyle w:val="FootnoteReference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footnoteReference w:id="2"/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tika </w:t>
            </w:r>
            <w:r w:rsidR="002A5D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secināts</w:t>
            </w:r>
            <w:r w:rsidR="00B10748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2A5D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– </w:t>
            </w:r>
            <w:r w:rsidR="00B10748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lai no Konvencijas pielikuma C</w:t>
            </w:r>
            <w:r w:rsidR="00B10748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noBreakHyphen/>
              <w:t>2.</w:t>
            </w:r>
            <w:r w:rsidR="00B560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</w:t>
            </w:r>
            <w:r w:rsidR="00B10748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noteikuma izrietošās saistības izpildītu pilnībā, nepieciešams</w:t>
            </w:r>
            <w:r w:rsidR="00B560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0248C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arī </w:t>
            </w:r>
            <w:r w:rsidR="00B10748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noteikt, kādā veidā tiks izplatīti brīdinājumi</w:t>
            </w:r>
            <w:r w:rsidR="00A61452" w:rsidRPr="00A614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kuģu personālam</w:t>
            </w:r>
            <w:r w:rsidR="00B10748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656A4E47" w14:textId="799ECA02" w:rsidR="00E21122" w:rsidRPr="00E6249A" w:rsidRDefault="002716BB" w:rsidP="00E2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lastRenderedPageBreak/>
              <w:t>Ņemot vērā iepriekš minēto, l</w:t>
            </w:r>
            <w:r w:rsidR="000248C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ai izpildītu starptautiskās saistības pilnībā, projekt</w:t>
            </w:r>
            <w:r w:rsidR="00116BAF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="000248C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AC38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2</w:t>
            </w:r>
            <w:r w:rsidR="002C2540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  <w:r w:rsidR="00CB1A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</w:t>
            </w:r>
            <w:r w:rsidR="002C2540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punktā</w:t>
            </w:r>
            <w:r w:rsidR="00116BAF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0248C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noteikt</w:t>
            </w:r>
            <w:r w:rsidR="002C2540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 w:rsidR="000248C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ka </w:t>
            </w:r>
            <w:r w:rsidR="002C2540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Krasta apsardzes dienesta Jūras meklēšanas un glābšanas koordinācijas centrs (</w:t>
            </w:r>
            <w:r w:rsidR="002C2540" w:rsidRPr="00E6249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MRCC</w:t>
            </w:r>
            <w:r w:rsidR="002C2540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) 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izziņo </w:t>
            </w:r>
            <w:r w:rsidR="0078309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globālās jūras negadījumu un drošības sistēmas radiosakaru tīklā ultraīsviļņu frekvencē </w:t>
            </w:r>
            <w:r w:rsidR="00783097" w:rsidRPr="007830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Vides aizsardzības un reģionālās attīstības ministrijas vai Valsts vides dienesta iesniegto paziņojumu par </w:t>
            </w:r>
            <w:r w:rsidR="00B208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rajonu</w:t>
            </w:r>
            <w:r w:rsidR="00783097" w:rsidRPr="007830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kur kuģiem nevajadzētu uzņemt balasta ūdeni</w:t>
            </w:r>
            <w:r w:rsidR="007830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  <w:r w:rsidR="009118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Faktisko izziņošanu</w:t>
            </w:r>
            <w:r w:rsidR="00A614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ar kuru tiek informēts kuģu personāls</w:t>
            </w:r>
            <w:r w:rsidR="009118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</w:t>
            </w:r>
            <w:r w:rsidR="0082760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Krasta apsardzes dienesta Jūras meklēšanas un glābšanas koordinācijas centrs (</w:t>
            </w:r>
            <w:r w:rsidR="0082760A" w:rsidRPr="00E6249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MRCC</w:t>
            </w:r>
            <w:r w:rsidR="0082760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) veic radiosakaru tīkl</w:t>
            </w:r>
            <w:r w:rsidR="008E19D9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="0082760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UĪV 71.</w:t>
            </w:r>
            <w:r w:rsidR="002A5D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</w:t>
            </w:r>
            <w:r w:rsidR="0082760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kanālā ikdienu plkst. 07:03 un plkst. 15:03 pēc Latvijas laika. Steidzamus navigācijas brīdinājumus pārraida tūlīt pēc attiecīgās informācijas saņemšanas un pēc tam tos iekļauj nākamajā ziņojumā.</w:t>
            </w:r>
            <w:r w:rsidR="007D3FCB" w:rsidRPr="00E6249A">
              <w:rPr>
                <w:rStyle w:val="FootnoteReference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footnoteReference w:id="3"/>
            </w:r>
          </w:p>
          <w:p w14:paraId="7A5CEDC4" w14:textId="4B84B258" w:rsidR="005252BB" w:rsidRPr="00E6249A" w:rsidRDefault="00A92403" w:rsidP="00A9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II</w:t>
            </w:r>
            <w:r w:rsidR="00E6249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30C2822B" w14:textId="459FE019" w:rsidR="00A12AF7" w:rsidRPr="00E6249A" w:rsidRDefault="00A12AF7" w:rsidP="00A12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Nodrošinot Eiropas Parlamenta un Padomes 2002. gada 27.</w:t>
            </w:r>
            <w:r w:rsidR="00A9240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jūnija Direktīvas 2002/59/EK, ar ko izveido Kopienas kuģu satiksmes uzraudzības un informācijas sistēmu un atceļ Padomes Direktīvu 93/75/EEK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(turpmāk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–</w:t>
            </w:r>
            <w:r w:rsidR="00CB1A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Direktīva 2002/59/EK)</w:t>
            </w:r>
            <w:r w:rsidR="00A9240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prasības</w:t>
            </w:r>
            <w:r w:rsidR="00A9240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Eiropas </w:t>
            </w:r>
            <w:r w:rsidRPr="00E6249A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lv-LV"/>
              </w:rPr>
              <w:t>Komisija sadarbībā ar dalībvalstīm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ir ieviesusi</w:t>
            </w:r>
            <w:r w:rsidRPr="00E6249A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A9240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vienotu </w:t>
            </w:r>
            <w:r w:rsidR="00937ADD" w:rsidRPr="00E6249A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lv-LV"/>
              </w:rPr>
              <w:t>kuģu satiksmes uzraudzības un informācijas sistēmu</w:t>
            </w:r>
            <w:r w:rsidR="0041080E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kurā tiek izpildīti dažāda rakstura informācijas </w:t>
            </w:r>
            <w:r w:rsidR="00937ADD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paziņošanas un </w:t>
            </w:r>
            <w:r w:rsidR="0041080E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apmaiņas pienākumi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</w:t>
            </w:r>
            <w:r w:rsidR="0041080E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Š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ī sistēma sastāv no Eiropas Jūras drošības aģentūras (EMSA) </w:t>
            </w:r>
            <w:r w:rsidR="000218D4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uzturētās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054887" w:rsidRPr="0005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Eiropas Savienības </w:t>
            </w:r>
            <w:r w:rsidR="00054887" w:rsidRPr="000548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SafeSeaNet</w:t>
            </w:r>
            <w:r w:rsidR="00054887" w:rsidRPr="0005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450A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sistēmas 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un dalībvalstu </w:t>
            </w:r>
            <w:r w:rsidR="0005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nacionālajām 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SafeSeaNet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sistēmām.</w:t>
            </w:r>
            <w:r w:rsidR="00A9240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Latvijā </w:t>
            </w:r>
            <w:r w:rsidR="0005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nacionālās 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SafeSeaNet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sistēmas funkcijas pilda Starptautiskā kravu loģistikas un ostu informācijas sistēma (SKLOIS</w:t>
            </w:r>
            <w:r w:rsidR="00A9240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sistēma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)</w:t>
            </w:r>
            <w:r w:rsidR="00AC38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kas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nodrošina informācijas apmaiņu ar</w:t>
            </w:r>
            <w:r w:rsidR="004B38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054887" w:rsidRPr="0005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Eiropas Savienības </w:t>
            </w:r>
            <w:r w:rsidR="00054887" w:rsidRPr="000548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SafeSeaNet</w:t>
            </w:r>
            <w:r w:rsidR="00DA6BD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sistēmu.</w:t>
            </w:r>
          </w:p>
          <w:p w14:paraId="553FE762" w14:textId="13350781" w:rsidR="00EE64C3" w:rsidRPr="00E6249A" w:rsidRDefault="0041080E" w:rsidP="00540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Vienlaikus </w:t>
            </w:r>
            <w:r w:rsidR="008B28A7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Direktīva 2002/59/EK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A9240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nosaka 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arī informācijas, kas saistīta ar jūras negadījumu vai incidentu, </w:t>
            </w:r>
            <w:r w:rsidR="0097305D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paziņošanas pienākumu </w:t>
            </w:r>
            <w:r w:rsidR="00A9240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vienotajā </w:t>
            </w:r>
            <w:r w:rsidR="00A92403" w:rsidRPr="00E6249A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lv-LV"/>
              </w:rPr>
              <w:t xml:space="preserve">kuģu satiksmes uzraudzības un informācijas </w:t>
            </w:r>
            <w:r w:rsidR="00A9240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 w:rsidR="0097305D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istēmā</w:t>
            </w:r>
            <w:r w:rsidR="00D059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  <w:r w:rsidR="00C00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EE64C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Krasta apsardzes dienests informāciju, kas saistīta ar jūras negadījumu vai incidentu</w:t>
            </w:r>
            <w:r w:rsidR="0005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</w:t>
            </w:r>
            <w:r w:rsidR="00EE64C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faktiski paziņo </w:t>
            </w:r>
            <w:r w:rsidR="00054887" w:rsidRPr="0005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Eiropas Savienības </w:t>
            </w:r>
            <w:r w:rsidR="00054887" w:rsidRPr="000548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SafeSeaNet</w:t>
            </w:r>
            <w:r w:rsidR="000218D4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sistēm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ā</w:t>
            </w:r>
            <w:r w:rsidR="000218D4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29ED7D13" w14:textId="77777777" w:rsidR="0003330D" w:rsidRDefault="002A5D65" w:rsidP="0037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Lai gan </w:t>
            </w:r>
            <w:r w:rsidR="00C8344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Direktīvas 2002/59/EK iepriekš minētās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informācijas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kas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D05972" w:rsidRPr="00D059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saistīta ar jūras negadījumu vai incidentu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</w:t>
            </w:r>
            <w:r w:rsidR="00D05972" w:rsidRPr="00D059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paziņošanas </w:t>
            </w:r>
            <w:r w:rsidR="00C8344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prasības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var uzskatīt par tiesiski nostiprinātām </w:t>
            </w:r>
            <w:r w:rsidR="00C8344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cit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ā</w:t>
            </w:r>
            <w:r w:rsidR="00C8344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 norm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ā</w:t>
            </w:r>
            <w:r w:rsidR="00C8344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s, piemēram, </w:t>
            </w:r>
            <w:r w:rsidR="00375657" w:rsidRP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Ministru kabineta 20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10. gada 21.</w:t>
            </w:r>
            <w:r w:rsidR="00B22F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decembra noteikumu</w:t>
            </w:r>
            <w:r w:rsidR="00375657" w:rsidRP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Nr.</w:t>
            </w:r>
            <w:r w:rsidR="00B22F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</w:t>
            </w:r>
            <w:r w:rsidR="00375657" w:rsidRP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1171 "Noteikumi par Latvijas ūdeņu izmantošanas kārtību un kuģošanas režīmu tajos"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D059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C8344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24.</w:t>
            </w:r>
            <w:r w:rsidR="00C8344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punktā, t</w:t>
            </w:r>
            <w:r w:rsidR="00C83443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omēr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</w:t>
            </w:r>
            <w:r w:rsidR="00D059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raksē konstatēta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nepieciešamība </w:t>
            </w:r>
            <w:r w:rsidR="00D059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papildināt 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šo </w:t>
            </w:r>
            <w:r w:rsidR="00D059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noteikumu regulējumu,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tādēļ</w:t>
            </w:r>
            <w:r w:rsidR="00206B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0218D4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projekta 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3</w:t>
            </w:r>
            <w:r w:rsidR="000218D4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  <w:r w:rsidR="003756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</w:t>
            </w:r>
            <w:r w:rsidR="000218D4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punktā noteikts</w:t>
            </w:r>
            <w:r w:rsidR="0091247E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ka</w:t>
            </w:r>
            <w:r w:rsidR="000218D4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91247E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Krasta apsardze</w:t>
            </w:r>
            <w:r w:rsidR="00F7565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 dienests</w:t>
            </w:r>
            <w:r w:rsidR="0091247E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apmainās ar citām Eiropas Savienības dalībvalstu kompetentajām iestādēm ar informāciju, kas saistīta ar jūras negadījumu vai incidentu, izmantojot </w:t>
            </w:r>
            <w:r w:rsidR="00054887" w:rsidRPr="0005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Eiropas Savienības </w:t>
            </w:r>
            <w:r w:rsidR="00054887" w:rsidRPr="000548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SafeSeaNet</w:t>
            </w:r>
            <w:r w:rsidR="00054887" w:rsidRPr="000548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91247E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sistēm</w:t>
            </w:r>
            <w:r w:rsidR="00F7565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</w:t>
            </w:r>
            <w:r w:rsidR="0091247E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un </w:t>
            </w:r>
            <w:r w:rsidR="0091247E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lastRenderedPageBreak/>
              <w:t>ievērojot Eiropas Jūras drošības aģentūras (EMSA) vadlīnijas</w:t>
            </w:r>
            <w:r w:rsidR="0091247E" w:rsidRPr="00E6249A">
              <w:rPr>
                <w:rStyle w:val="FootnoteReference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footnoteReference w:id="4"/>
            </w:r>
            <w:r w:rsidR="0091247E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 Vienlaikus tiek uzskaitīti arī ziņojumu veidi, kuri atbilst informācijai, kas saistīta ar jūras negadījumu vai incidentu.</w:t>
            </w:r>
            <w:r w:rsidR="0003330D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  <w:p w14:paraId="40EFEE44" w14:textId="77777777" w:rsidR="000D4681" w:rsidRDefault="000D4681" w:rsidP="0041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III.</w:t>
            </w:r>
          </w:p>
          <w:p w14:paraId="75FD293D" w14:textId="78B13419" w:rsidR="00BF75B0" w:rsidRPr="00BF75B0" w:rsidRDefault="00BF75B0" w:rsidP="00BF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</w:t>
            </w:r>
            <w:r w:rsidR="000D46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rojekta 1.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0D46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punkt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 satur t</w:t>
            </w:r>
            <w:r w:rsidRPr="00BF75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ehniska rakstura precizējumus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iestāžu nosaukumos.</w:t>
            </w:r>
            <w:r w:rsidRPr="00BF75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</w:p>
          <w:p w14:paraId="56748E2E" w14:textId="749F9879" w:rsidR="000D4681" w:rsidRPr="00E6249A" w:rsidRDefault="000D4681" w:rsidP="00BF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F05270" w:rsidRPr="00E6249A" w14:paraId="738BE9A8" w14:textId="77777777" w:rsidTr="002A1895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CE5E1" w14:textId="54C18D18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BCD25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9C735" w14:textId="0F2468A9" w:rsidR="00E5323B" w:rsidRPr="00E6249A" w:rsidRDefault="007F6154" w:rsidP="0020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Satiksmes ministrija sadarbībā ar </w:t>
            </w:r>
            <w:r w:rsidR="00206B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valsts akciju sabiedrību </w:t>
            </w:r>
            <w:r w:rsidR="00206B33" w:rsidRPr="00206B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206B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Latvijas Jūras administrācija</w:t>
            </w:r>
            <w:r w:rsidR="00206B33" w:rsidRPr="00206B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F002B3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E5323B" w:rsidRPr="00E6249A" w14:paraId="7549885D" w14:textId="77777777" w:rsidTr="00740B4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FD514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E54A0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81B3" w14:textId="4BCD499C" w:rsidR="00740B4A" w:rsidRPr="00E6249A" w:rsidRDefault="00F002B3" w:rsidP="00740B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075E2F" w14:textId="088865E0" w:rsidR="00327E1E" w:rsidRPr="00E6249A" w:rsidRDefault="00327E1E" w:rsidP="00EA6E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"/>
        <w:gridCol w:w="3117"/>
        <w:gridCol w:w="5492"/>
      </w:tblGrid>
      <w:tr w:rsidR="00F05270" w:rsidRPr="00E6249A" w14:paraId="5C5BD89F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C6C84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F05270" w:rsidRPr="00E6249A" w14:paraId="5B1701F7" w14:textId="77777777" w:rsidTr="005052F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22F57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F05CE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BA184" w14:textId="1F35BAFD" w:rsidR="00E5323B" w:rsidRDefault="00C63479" w:rsidP="00E91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Projekta </w:t>
            </w:r>
            <w:r w:rsidR="003756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punktā noteiktā p</w:t>
            </w:r>
            <w:r w:rsidR="005E70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aziņojum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AF4CF5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par </w:t>
            </w:r>
            <w:r w:rsidR="00A700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rajonu</w:t>
            </w:r>
            <w:r w:rsidR="00AF4CF5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kur kuģiem nevajadzētu uzņemt balasta ūdeni, adresāti </w:t>
            </w:r>
            <w:r w:rsidR="00F317A4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–</w:t>
            </w:r>
            <w:r w:rsidR="00AF4CF5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Pr="00C634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Krasta apsardzes dienesta Jūras meklēšanas un glābšanas koordinācijas centr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Pr="00C634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(</w:t>
            </w:r>
            <w:r w:rsidRPr="00C6347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MRCC</w:t>
            </w:r>
            <w:r w:rsidRPr="00C634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ziņošanas </w:t>
            </w:r>
            <w:r w:rsidR="00A657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rajonā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esošo </w:t>
            </w:r>
            <w:r w:rsidR="00E916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kuģu, uz kuriem attiecināmas </w:t>
            </w:r>
            <w:r w:rsidR="00E916B3" w:rsidRPr="00E916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Konvencijas prasības</w:t>
            </w:r>
            <w:r w:rsidR="00E916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</w:t>
            </w:r>
            <w:r w:rsidR="00E916B3" w:rsidRPr="00E916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E916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personāls</w:t>
            </w:r>
            <w:r w:rsidR="00F002B3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57FE8A93" w14:textId="6B53446E" w:rsidR="00C63479" w:rsidRPr="00E6249A" w:rsidRDefault="00C63479" w:rsidP="0037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C63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Projekta </w:t>
            </w:r>
            <w:r w:rsidR="003756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punktā</w:t>
            </w:r>
            <w:r w:rsidRPr="00C63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noteiktā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Pr="00C63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</w:t>
            </w:r>
            <w:r w:rsidRPr="00C63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nformācij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as</w:t>
            </w:r>
            <w:r w:rsidRPr="00C63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kas saistīta ar </w:t>
            </w:r>
            <w:r w:rsidRPr="00C634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jūras negadījumu vai incidentu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</w:t>
            </w:r>
            <w:r w:rsidRPr="00C63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C634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adresāti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Eiropas Savienības dalībvalstu</w:t>
            </w:r>
            <w:r w:rsidRPr="00C634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kompetent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o</w:t>
            </w:r>
            <w:r w:rsidRPr="00C634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iestā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žu personāls.</w:t>
            </w:r>
          </w:p>
        </w:tc>
      </w:tr>
      <w:tr w:rsidR="00F05270" w:rsidRPr="00E6249A" w14:paraId="267D990B" w14:textId="77777777" w:rsidTr="005052F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5565" w14:textId="4E2B901C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FD66A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57E4" w14:textId="77777777" w:rsidR="00F317A4" w:rsidRPr="00E6249A" w:rsidRDefault="00F317A4" w:rsidP="00472E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Konvencijas īstenošanas i</w:t>
            </w:r>
            <w:r w:rsidR="00AF4CF5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etekme uz tautsaimniecību un administratīvo slogu </w:t>
            </w:r>
            <w:r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 aprakstīta l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ikumprojekta "Par 2004. gada Starptautisko konvenciju par kuģu balasta ūdens un nosēdumu kontroli un pārvaldību" sākotnējās ietekmes novērtējuma ziņojumā (anotācijā).</w:t>
            </w:r>
          </w:p>
          <w:p w14:paraId="7431685C" w14:textId="00B9E098" w:rsidR="008F6DB1" w:rsidRPr="00E6249A" w:rsidRDefault="00206B33" w:rsidP="0020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tiesiskais regulējums</w:t>
            </w:r>
            <w:r w:rsidR="00F317A4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ietekmi uz </w:t>
            </w:r>
            <w:r w:rsidR="00F317A4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tautsaimniecību un administratīvo slogu</w:t>
            </w:r>
            <w:r w:rsidR="00F317A4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nerada, jo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projektā noteikto pienākumu </w:t>
            </w:r>
            <w:r w:rsidR="00F317A4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izpilde gulstas tikai uz institūcijām, kurām ir noteiktas </w:t>
            </w:r>
            <w:r w:rsidR="00F002B3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pārvaldes </w:t>
            </w:r>
            <w:r w:rsidR="00F317A4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funkcijas jūrlietās</w:t>
            </w:r>
            <w:r w:rsidR="00AA267C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kuras jau īsteno šos uzdevumus</w:t>
            </w:r>
            <w:r w:rsidR="00F002B3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05270" w:rsidRPr="00E6249A" w14:paraId="2D3B7C43" w14:textId="77777777" w:rsidTr="005052F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50C25" w14:textId="4CA091DF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FB66B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5EB94" w14:textId="30B40FA0" w:rsidR="00E5323B" w:rsidRPr="00E6249A" w:rsidRDefault="00F002B3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F05270" w:rsidRPr="00E6249A" w14:paraId="188E91E2" w14:textId="77777777" w:rsidTr="005052F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AD49B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B15FA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6DF3A" w14:textId="641C674E" w:rsidR="00E5323B" w:rsidRPr="00E6249A" w:rsidRDefault="00F002B3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F05270" w:rsidRPr="00E6249A" w14:paraId="70BB7F79" w14:textId="77777777" w:rsidTr="005052F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F4E77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1EA06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BA3E6" w14:textId="3949ED2B" w:rsidR="00E5323B" w:rsidRPr="00E6249A" w:rsidRDefault="00F002B3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07F3D815" w14:textId="5C13E6A4" w:rsidR="00C864E4" w:rsidRPr="00E6249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E6249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98"/>
      </w:tblGrid>
      <w:tr w:rsidR="00F05270" w:rsidRPr="00E6249A" w14:paraId="2B2E6551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FC43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F05270" w:rsidRPr="00E6249A" w14:paraId="7DA81001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39AD8" w14:textId="70E26BAE" w:rsidR="002B1077" w:rsidRPr="00E6249A" w:rsidRDefault="00327E1E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Projekts šo jomu n</w:t>
            </w:r>
            <w:r w:rsidR="00F002B3" w:rsidRPr="00E62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eskar.</w:t>
            </w:r>
          </w:p>
        </w:tc>
      </w:tr>
    </w:tbl>
    <w:p w14:paraId="294C1C0A" w14:textId="3F1E5189" w:rsidR="002E028E" w:rsidRPr="00E6249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E6249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98"/>
      </w:tblGrid>
      <w:tr w:rsidR="00F05270" w:rsidRPr="00E6249A" w14:paraId="38B87067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9C99C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lastRenderedPageBreak/>
              <w:t>IV. Tiesību akta projekta ietekme uz spēkā esošo tiesību normu sistēmu</w:t>
            </w:r>
          </w:p>
        </w:tc>
      </w:tr>
      <w:tr w:rsidR="00F002B3" w:rsidRPr="00E6249A" w14:paraId="5A4E115F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64191" w14:textId="735DCF30" w:rsidR="00F002B3" w:rsidRPr="00E6249A" w:rsidRDefault="00F002B3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2F7B5880" w14:textId="77777777" w:rsidR="00042C09" w:rsidRPr="00E6249A" w:rsidRDefault="00042C09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"/>
        <w:gridCol w:w="3117"/>
        <w:gridCol w:w="5492"/>
      </w:tblGrid>
      <w:tr w:rsidR="00F05270" w:rsidRPr="00E6249A" w14:paraId="4512632A" w14:textId="77777777" w:rsidTr="00D64BC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6D7AF2" w14:textId="77777777" w:rsidR="007C52A5" w:rsidRPr="00E6249A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F05270" w:rsidRPr="00E6249A" w14:paraId="6BDE2BF9" w14:textId="77777777" w:rsidTr="00D64BC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32682" w14:textId="77777777" w:rsidR="007C52A5" w:rsidRPr="00E6249A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94AC6" w14:textId="77777777" w:rsidR="007C52A5" w:rsidRPr="00E6249A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Saistības pret Eiropas Savienību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10D9" w14:textId="3CF074E8" w:rsidR="007C52A5" w:rsidRPr="00E6249A" w:rsidRDefault="00F7565A" w:rsidP="00A2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Nav</w:t>
            </w:r>
            <w:r w:rsidR="00A267B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F05270" w:rsidRPr="00E6249A" w14:paraId="4EEE279E" w14:textId="77777777" w:rsidTr="00D64BC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9D2D0" w14:textId="3A91C591" w:rsidR="007C52A5" w:rsidRPr="00E6249A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94A02" w14:textId="77777777" w:rsidR="007C52A5" w:rsidRPr="00E6249A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Citas starptautiskās saistības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8FD67" w14:textId="3F8182D9" w:rsidR="007C52A5" w:rsidRPr="00E6249A" w:rsidRDefault="00F002B3" w:rsidP="00450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Ar </w:t>
            </w:r>
            <w:r w:rsidR="00452AC6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projektu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452AC6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tiek noteikta 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Latvijas Republika</w:t>
            </w:r>
            <w:r w:rsidR="00452AC6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452AC6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jau 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uzņem</w:t>
            </w:r>
            <w:r w:rsidR="00452AC6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to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Konvencij</w:t>
            </w:r>
            <w:r w:rsidR="00450A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as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saistīb</w:t>
            </w:r>
            <w:r w:rsidR="00452AC6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 izpildes kārtība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</w:t>
            </w:r>
            <w:r w:rsidR="0062020B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Projektu ne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pieciešams pieņemt pēc iespējas ātrāk.</w:t>
            </w:r>
          </w:p>
        </w:tc>
      </w:tr>
      <w:tr w:rsidR="00D64BC8" w:rsidRPr="00E6249A" w14:paraId="530C6E2F" w14:textId="77777777" w:rsidTr="00D64BC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2B204" w14:textId="5DF73B8D" w:rsidR="007C52A5" w:rsidRPr="00E6249A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40038" w14:textId="77777777" w:rsidR="007C52A5" w:rsidRPr="00E6249A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94A19" w14:textId="77777777" w:rsidR="007C52A5" w:rsidRPr="00E6249A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FE9F8B6" w14:textId="77777777" w:rsidR="00EA6EAC" w:rsidRPr="00E6249A" w:rsidRDefault="00EA6EAC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77"/>
        <w:gridCol w:w="3214"/>
        <w:gridCol w:w="3514"/>
      </w:tblGrid>
      <w:tr w:rsidR="00642D9F" w:rsidRPr="00E6249A" w14:paraId="0CCAE0D0" w14:textId="77777777" w:rsidTr="00642D9F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72C4A" w14:textId="307A87A5" w:rsidR="00642D9F" w:rsidRPr="00E6249A" w:rsidRDefault="00642D9F" w:rsidP="0064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1. tabula</w:t>
            </w: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br/>
              <w:t>Tiesību akta projekta atbilstība ES tiesību aktiem</w:t>
            </w:r>
          </w:p>
        </w:tc>
      </w:tr>
      <w:tr w:rsidR="00642D9F" w:rsidRPr="00E6249A" w14:paraId="299A75E5" w14:textId="77777777" w:rsidTr="00642D9F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70653" w14:textId="65EC7D78" w:rsidR="00642D9F" w:rsidRPr="00E6249A" w:rsidRDefault="00642D9F" w:rsidP="0064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F05270" w:rsidRPr="00E6249A" w14:paraId="123AF17B" w14:textId="77777777" w:rsidTr="00642D9F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6D5D2" w14:textId="6565C4F6" w:rsidR="00642D9F" w:rsidRPr="00E6249A" w:rsidRDefault="00642D9F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2. tabula</w:t>
            </w:r>
          </w:p>
          <w:p w14:paraId="770EEA2F" w14:textId="275A6A25" w:rsidR="00655F2C" w:rsidRPr="00E6249A" w:rsidRDefault="006D59B7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Ar tiesību akta projektu izpildītās vai uzņemtās saistības, kas izriet no starptautiskajiem tiesību aktiem vai starptautiskas institūcijas vai organizācijas dokumentiem.</w:t>
            </w: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br/>
              <w:t>Pasākumi šo saistību izpildei</w:t>
            </w:r>
          </w:p>
        </w:tc>
      </w:tr>
      <w:tr w:rsidR="00F05270" w:rsidRPr="00E6249A" w14:paraId="51A0BAE9" w14:textId="77777777" w:rsidTr="00642D9F">
        <w:trPr>
          <w:tblCellSpacing w:w="15" w:type="dxa"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EBE71" w14:textId="4EA4AD67" w:rsidR="00E5323B" w:rsidRPr="00E6249A" w:rsidRDefault="006D59B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Attiecīgā starptautiskā tiesību akta vai starptautiskas institūcijas vai organizācijas dokumenta (turpmāk – starptautiskais dokuments) datums, numurs un nosaukums</w:t>
            </w:r>
          </w:p>
        </w:tc>
        <w:tc>
          <w:tcPr>
            <w:tcW w:w="36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CEF2F" w14:textId="27745EA8" w:rsidR="00BB59DE" w:rsidRPr="00E6249A" w:rsidRDefault="006D59B7" w:rsidP="00DA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2004. gada Starptautiskā konvencija par kuģu balasta ūdens un nosēdumu kontroli un pārvaldību</w:t>
            </w:r>
          </w:p>
        </w:tc>
      </w:tr>
      <w:tr w:rsidR="00A1780A" w:rsidRPr="00E6249A" w14:paraId="313C84E5" w14:textId="77777777" w:rsidTr="00642D9F">
        <w:trPr>
          <w:tblCellSpacing w:w="15" w:type="dxa"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F5882" w14:textId="77777777" w:rsidR="006D59B7" w:rsidRPr="00E6249A" w:rsidRDefault="006D59B7" w:rsidP="0064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3413B" w14:textId="77777777" w:rsidR="006D59B7" w:rsidRPr="00E6249A" w:rsidRDefault="006D59B7" w:rsidP="0064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417F" w14:textId="21CF59C5" w:rsidR="006D59B7" w:rsidRPr="00E6249A" w:rsidRDefault="006D59B7" w:rsidP="0064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</w:t>
            </w:r>
          </w:p>
        </w:tc>
      </w:tr>
      <w:tr w:rsidR="00A1780A" w:rsidRPr="00E6249A" w14:paraId="7F17C035" w14:textId="77777777" w:rsidTr="00642D9F">
        <w:trPr>
          <w:tblCellSpacing w:w="15" w:type="dxa"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32446" w14:textId="37B5492E" w:rsidR="006D59B7" w:rsidRPr="00E6249A" w:rsidRDefault="00A1780A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Starptautiskās saistības (pēc būtības), kas izriet no norādītā starptautiskā dokumenta.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Konkrēti veicamie pasākumi vai uzdevumi, kas nepieciešami šo starptautisko saistību izpildei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37E86" w14:textId="694FF67B" w:rsidR="006D59B7" w:rsidRPr="00E6249A" w:rsidRDefault="00A1780A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 pasākumi vai uzdevumi, ar ko tiks izpildītas starptautiskās saistības, tiek noteikti projektā, norāda attiecīgo projekta vienību vai dokumentu, kurā sniegts izvērsts skaidrojums, kādā veidā tiks nodrošināta starptautisko saistību izpilde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104F4" w14:textId="2584D491" w:rsidR="006D59B7" w:rsidRPr="00E6249A" w:rsidRDefault="00A1780A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Informācija par to, vai starptautiskās saistības, kas minētas šīs tabulas A ailē, tiek izpildītas pilnībā vai daļēji.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 attiecīgās starptautiskās saistības tiek izpildītas daļēji, sniedz skaidrojumu, kā arī precīzi norāda, kad un kādā veidā starptautiskās saistības tiks izpildītas pilnībā.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Norāda institūciju, kas ir atbildīga par šo saistību izpildi pilnībā</w:t>
            </w:r>
          </w:p>
        </w:tc>
      </w:tr>
      <w:tr w:rsidR="00A1780A" w:rsidRPr="00E6249A" w14:paraId="36E02920" w14:textId="77777777" w:rsidTr="00642D9F">
        <w:trPr>
          <w:tblCellSpacing w:w="15" w:type="dxa"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3238" w14:textId="2E9F0106" w:rsidR="00A1780A" w:rsidRPr="00E6249A" w:rsidRDefault="00A1780A" w:rsidP="00A178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Pielikuma C-2. noteikuma 1.punkts:</w:t>
            </w:r>
          </w:p>
          <w:p w14:paraId="5C6468C8" w14:textId="68B034F1" w:rsidR="00A1780A" w:rsidRPr="00E6249A" w:rsidRDefault="00A1780A" w:rsidP="00A178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pienākums izplatīt noteiktu informāciju jūrniekiem.</w:t>
            </w:r>
          </w:p>
          <w:p w14:paraId="4D359A9B" w14:textId="62646F0D" w:rsidR="00A1780A" w:rsidRPr="00E6249A" w:rsidRDefault="00A1780A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905B3" w14:textId="29A95BF6" w:rsidR="00A1780A" w:rsidRPr="00E6249A" w:rsidRDefault="00F7565A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 xml:space="preserve">Projekta </w:t>
            </w:r>
            <w:r w:rsidR="000D46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  <w:r w:rsidR="00A1780A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punkts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917F35E" w14:textId="68C32EF8" w:rsidR="00A1780A" w:rsidRPr="00E6249A" w:rsidRDefault="00A1780A" w:rsidP="007449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Saistības tiek izpildītas pilnībā.</w:t>
            </w:r>
          </w:p>
        </w:tc>
      </w:tr>
      <w:tr w:rsidR="00F05270" w:rsidRPr="00E6249A" w14:paraId="5FE50107" w14:textId="77777777" w:rsidTr="00642D9F">
        <w:trPr>
          <w:tblCellSpacing w:w="15" w:type="dxa"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69182" w14:textId="1E27E02B" w:rsidR="007449E0" w:rsidRPr="00E6249A" w:rsidRDefault="00642D9F" w:rsidP="007449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Vai starptautiskajā dokumentā paredzētās saistības nav pretrunā ar jau esošajām Latvijas Republikas starptautiskajām saistībām</w:t>
            </w:r>
          </w:p>
        </w:tc>
        <w:tc>
          <w:tcPr>
            <w:tcW w:w="36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8FCBF" w14:textId="799C63ED" w:rsidR="007449E0" w:rsidRPr="00E6249A" w:rsidRDefault="00642D9F" w:rsidP="0064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Konvencijā paredzētās saistības nav pretrunā ar jau esošām Latvijas Republikas starptautiskajām saistībām.</w:t>
            </w:r>
          </w:p>
        </w:tc>
      </w:tr>
      <w:tr w:rsidR="007449E0" w:rsidRPr="00E6249A" w14:paraId="2353F277" w14:textId="77777777" w:rsidTr="00642D9F">
        <w:trPr>
          <w:tblCellSpacing w:w="15" w:type="dxa"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BAC41" w14:textId="77777777" w:rsidR="007449E0" w:rsidRPr="00E6249A" w:rsidRDefault="007449E0" w:rsidP="007449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6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C2AD5" w14:textId="520BBCE4" w:rsidR="00AC67CD" w:rsidRPr="00E6249A" w:rsidRDefault="00642D9F" w:rsidP="00642D9F">
            <w:pPr>
              <w:pStyle w:val="ListParagraph"/>
              <w:tabs>
                <w:tab w:val="left" w:pos="23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224CA775" w14:textId="77C6BCD0" w:rsidR="00E5323B" w:rsidRPr="00E6249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E6249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2949"/>
        <w:gridCol w:w="5696"/>
      </w:tblGrid>
      <w:tr w:rsidR="00F05270" w:rsidRPr="00E6249A" w14:paraId="1543C4FD" w14:textId="77777777" w:rsidTr="00642D9F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0759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F05270" w:rsidRPr="00E6249A" w14:paraId="4355A770" w14:textId="77777777" w:rsidTr="00642D9F">
        <w:trPr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8E7DD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3EDD6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821CF" w14:textId="721E6A25" w:rsidR="00E5323B" w:rsidRPr="00E6249A" w:rsidRDefault="00B6399E" w:rsidP="00151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Atbilstoši Ministru kabineta 2009.</w:t>
            </w:r>
            <w:r w:rsidR="00F205C8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gada 25.</w:t>
            </w:r>
            <w:r w:rsidR="00F205C8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1310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augusta noteikumu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</w:t>
            </w:r>
            <w:r w:rsidR="001310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970 </w:t>
            </w:r>
            <w:r w:rsidR="00131060" w:rsidRPr="001310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kārtība attīstības plānošanas procesā</w:t>
            </w:r>
            <w:r w:rsidR="00131060" w:rsidRPr="001310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7.4.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lv-LV"/>
              </w:rPr>
              <w:t>1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apakšpunktam sabiedrībai tika dota iespēja rakstiski sniegt viedokli par projektu tā izstrādes stadijā. </w:t>
            </w:r>
          </w:p>
        </w:tc>
      </w:tr>
      <w:tr w:rsidR="00F05270" w:rsidRPr="00E6249A" w14:paraId="6E2663D3" w14:textId="77777777" w:rsidTr="00642D9F">
        <w:trPr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55817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1537C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E247C" w14:textId="6E626DD7" w:rsidR="00F7565A" w:rsidRPr="00E6249A" w:rsidRDefault="00B6399E" w:rsidP="00F7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projekta izstrādi tika informēti sabiedrības pārstāvji, </w:t>
            </w:r>
            <w:r w:rsidR="00FF78AE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F7565A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FF78AE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 gada </w:t>
            </w:r>
            <w:r w:rsidR="00F7565A" w:rsidRPr="00E6249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  <w:t>septembrī</w:t>
            </w:r>
            <w:r w:rsidR="00595834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ievietojot paziņojumu</w:t>
            </w:r>
            <w:r w:rsidR="00595834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Satiksmes ministrijas tīmekļa vietnē, sadaļā “Sabiedrības līdzdalība”</w:t>
            </w:r>
            <w:r w:rsidR="00E6249A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5"/>
            </w:r>
            <w:r w:rsidR="00F7565A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3BC6975" w14:textId="251C75C1" w:rsidR="00E5323B" w:rsidRPr="00E6249A" w:rsidRDefault="00595834" w:rsidP="00F7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Tādējādi savus priekšlikumus par projektu varēja izteikt ikviena ieintere</w:t>
            </w:r>
            <w:r w:rsidR="00642D9F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sētā persona.</w:t>
            </w:r>
          </w:p>
        </w:tc>
      </w:tr>
      <w:tr w:rsidR="00F05270" w:rsidRPr="00E6249A" w14:paraId="1F6E70A4" w14:textId="77777777" w:rsidTr="00642D9F">
        <w:trPr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089F1" w14:textId="182A8BCE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8B8CB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62036" w14:textId="74347391" w:rsidR="00940037" w:rsidRPr="00E6249A" w:rsidRDefault="00D05972" w:rsidP="0064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Tiks papildināts. </w:t>
            </w:r>
          </w:p>
        </w:tc>
      </w:tr>
      <w:tr w:rsidR="00E5323B" w:rsidRPr="00E6249A" w14:paraId="50118678" w14:textId="77777777" w:rsidTr="00642D9F">
        <w:trPr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3FFD1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9F6A0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74227" w14:textId="33BC3A92" w:rsidR="00E5323B" w:rsidRPr="00E6249A" w:rsidRDefault="00642D9F" w:rsidP="00DA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  <w:r w:rsidR="003F5417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6A7179F5" w14:textId="4542FEA0" w:rsidR="00624947" w:rsidRPr="00E6249A" w:rsidRDefault="00624947" w:rsidP="001062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W w:w="506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"/>
        <w:gridCol w:w="3113"/>
        <w:gridCol w:w="5626"/>
      </w:tblGrid>
      <w:tr w:rsidR="00F05270" w:rsidRPr="00E6249A" w14:paraId="1E34320E" w14:textId="77777777" w:rsidTr="00CC1232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0E0EC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  <w:p w14:paraId="4F62D939" w14:textId="5ED2D561" w:rsidR="00F05270" w:rsidRPr="00E6249A" w:rsidRDefault="00F05270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F05270" w:rsidRPr="00E6249A" w14:paraId="4CCA7D18" w14:textId="77777777" w:rsidTr="00304568">
        <w:trPr>
          <w:tblCellSpacing w:w="15" w:type="dxa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10E77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4BABB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C670E" w14:textId="043F6658" w:rsidR="00E5323B" w:rsidRPr="00E6249A" w:rsidRDefault="00D56790" w:rsidP="00E82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Vides aizsardzības un reģionālās attīstības ministrija, Valsts vides dienests, Krasta apsardzes dienests</w:t>
            </w:r>
            <w:r w:rsidR="00E6249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ost</w:t>
            </w:r>
            <w:r w:rsidR="000D46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</w:t>
            </w:r>
            <w:r w:rsidR="00E6249A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pārvaldes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un </w:t>
            </w:r>
            <w:r w:rsidR="00E8247A" w:rsidRP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valsts akciju sabiedrīb</w:t>
            </w:r>
            <w:r w:rsid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="00E8247A" w:rsidRP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"Latvijas Jūras administrācija"</w:t>
            </w: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F05270" w:rsidRPr="00E6249A" w14:paraId="721FA1F7" w14:textId="77777777" w:rsidTr="00304568">
        <w:trPr>
          <w:tblCellSpacing w:w="15" w:type="dxa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DE90C" w14:textId="465889E9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23757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1F779" w14:textId="2F47B440" w:rsidR="00E5323B" w:rsidRPr="00E6249A" w:rsidRDefault="006B585C" w:rsidP="006B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iesaistīto institūciju funkcijas nepaplašinās un nesašaurinās. Saistībā ar projekta izpildi p</w:t>
            </w:r>
            <w:r w:rsidR="001310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apildu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cilvēkresursi nav nepieciešami. Nav nepieciešams arī veidot jaunas institūcijas vai likvidēt vai reorganizēt esošās.</w:t>
            </w:r>
          </w:p>
        </w:tc>
      </w:tr>
      <w:tr w:rsidR="00E5323B" w:rsidRPr="00E6249A" w14:paraId="3B9ABED0" w14:textId="77777777" w:rsidTr="00304568">
        <w:trPr>
          <w:tblCellSpacing w:w="15" w:type="dxa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565BC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CB170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01536" w14:textId="2465C38B" w:rsidR="00E5323B" w:rsidRPr="00E6249A" w:rsidRDefault="006B585C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7BA52A37" w14:textId="77777777" w:rsidR="006B585C" w:rsidRDefault="006B585C" w:rsidP="006B585C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11CBD3A" w14:textId="77777777" w:rsidR="00E6249A" w:rsidRPr="00E6249A" w:rsidRDefault="00E6249A" w:rsidP="006B585C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5AFBA6B" w14:textId="5919629C" w:rsidR="006B585C" w:rsidRPr="00E6249A" w:rsidRDefault="006B585C" w:rsidP="006B585C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249A">
        <w:rPr>
          <w:rFonts w:ascii="Times New Roman" w:hAnsi="Times New Roman" w:cs="Times New Roman"/>
          <w:sz w:val="24"/>
          <w:szCs w:val="24"/>
        </w:rPr>
        <w:t>Satiksmes ministrs</w:t>
      </w:r>
      <w:r w:rsidRPr="00E6249A">
        <w:rPr>
          <w:rFonts w:ascii="Times New Roman" w:hAnsi="Times New Roman" w:cs="Times New Roman"/>
          <w:sz w:val="24"/>
          <w:szCs w:val="24"/>
        </w:rPr>
        <w:tab/>
      </w:r>
      <w:r w:rsidRPr="00E6249A">
        <w:rPr>
          <w:rFonts w:ascii="Times New Roman" w:hAnsi="Times New Roman" w:cs="Times New Roman"/>
          <w:sz w:val="24"/>
          <w:szCs w:val="24"/>
        </w:rPr>
        <w:tab/>
      </w:r>
      <w:r w:rsidRPr="00E6249A">
        <w:rPr>
          <w:rFonts w:ascii="Times New Roman" w:hAnsi="Times New Roman" w:cs="Times New Roman"/>
          <w:sz w:val="24"/>
          <w:szCs w:val="24"/>
        </w:rPr>
        <w:tab/>
        <w:t>T. Linkaits</w:t>
      </w:r>
    </w:p>
    <w:p w14:paraId="600003F8" w14:textId="77777777" w:rsidR="006B585C" w:rsidRDefault="006B585C" w:rsidP="00E627D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4381B" w14:textId="77777777" w:rsidR="00E6249A" w:rsidRPr="00E6249A" w:rsidRDefault="00E6249A" w:rsidP="00E627D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8C6E4" w14:textId="77777777" w:rsidR="00304568" w:rsidRPr="00E6249A" w:rsidRDefault="00304568" w:rsidP="00E627D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57960" w14:textId="2FE5D98A" w:rsidR="00E6249A" w:rsidRPr="00E6249A" w:rsidRDefault="006B585C" w:rsidP="00E6249A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249A">
        <w:rPr>
          <w:rFonts w:ascii="Times New Roman" w:hAnsi="Times New Roman" w:cs="Times New Roman"/>
          <w:sz w:val="24"/>
          <w:szCs w:val="24"/>
        </w:rPr>
        <w:t>Vīza: valsts sekretār</w:t>
      </w:r>
      <w:r w:rsidR="00E6249A" w:rsidRPr="00E6249A">
        <w:rPr>
          <w:rFonts w:ascii="Times New Roman" w:hAnsi="Times New Roman" w:cs="Times New Roman"/>
          <w:sz w:val="24"/>
          <w:szCs w:val="24"/>
        </w:rPr>
        <w:t>e</w:t>
      </w:r>
      <w:r w:rsidRPr="00E6249A">
        <w:rPr>
          <w:rFonts w:ascii="Times New Roman" w:hAnsi="Times New Roman" w:cs="Times New Roman"/>
          <w:sz w:val="24"/>
          <w:szCs w:val="24"/>
        </w:rPr>
        <w:tab/>
      </w:r>
      <w:r w:rsidRPr="00E6249A">
        <w:rPr>
          <w:rFonts w:ascii="Times New Roman" w:hAnsi="Times New Roman" w:cs="Times New Roman"/>
          <w:sz w:val="24"/>
          <w:szCs w:val="24"/>
        </w:rPr>
        <w:tab/>
      </w:r>
      <w:r w:rsidRPr="00E6249A">
        <w:rPr>
          <w:rFonts w:ascii="Times New Roman" w:hAnsi="Times New Roman" w:cs="Times New Roman"/>
          <w:sz w:val="24"/>
          <w:szCs w:val="24"/>
        </w:rPr>
        <w:tab/>
      </w:r>
      <w:r w:rsidR="00E6249A" w:rsidRPr="00E6249A">
        <w:rPr>
          <w:rFonts w:ascii="Times New Roman" w:hAnsi="Times New Roman" w:cs="Times New Roman"/>
          <w:bCs/>
          <w:sz w:val="24"/>
          <w:szCs w:val="24"/>
        </w:rPr>
        <w:t>I. Stepanova</w:t>
      </w:r>
    </w:p>
    <w:sectPr w:rsidR="00E6249A" w:rsidRPr="00E6249A" w:rsidSect="00642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795C" w14:textId="77777777" w:rsidR="00936DDE" w:rsidRDefault="00936DDE" w:rsidP="00894C55">
      <w:pPr>
        <w:spacing w:after="0" w:line="240" w:lineRule="auto"/>
      </w:pPr>
      <w:r>
        <w:separator/>
      </w:r>
    </w:p>
  </w:endnote>
  <w:endnote w:type="continuationSeparator" w:id="0">
    <w:p w14:paraId="624FFB11" w14:textId="77777777" w:rsidR="00936DDE" w:rsidRDefault="00936DDE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317A3" w14:textId="77777777" w:rsidR="00375657" w:rsidRDefault="00375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23C9" w14:textId="7A903CBB" w:rsidR="00206B33" w:rsidRPr="00894C55" w:rsidRDefault="00206B3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SManot_</w:t>
    </w:r>
    <w:r w:rsidR="00375657">
      <w:rPr>
        <w:rFonts w:ascii="Times New Roman" w:hAnsi="Times New Roman" w:cs="Times New Roman"/>
        <w:sz w:val="20"/>
        <w:szCs w:val="20"/>
      </w:rPr>
      <w:t>110920</w:t>
    </w:r>
    <w:r>
      <w:rPr>
        <w:rFonts w:ascii="Times New Roman" w:hAnsi="Times New Roman" w:cs="Times New Roman"/>
        <w:sz w:val="20"/>
        <w:szCs w:val="20"/>
      </w:rPr>
      <w:t>_GrozMK1171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D19E" w14:textId="44EC0825" w:rsidR="00206B33" w:rsidRPr="00D56790" w:rsidRDefault="00206B33" w:rsidP="00D56790">
    <w:pPr>
      <w:pStyle w:val="Footer"/>
      <w:rPr>
        <w:rFonts w:ascii="Times New Roman" w:hAnsi="Times New Roman" w:cs="Times New Roman"/>
        <w:sz w:val="20"/>
        <w:szCs w:val="20"/>
      </w:rPr>
    </w:pPr>
    <w:r w:rsidRPr="00D56790">
      <w:rPr>
        <w:rFonts w:ascii="Times New Roman" w:hAnsi="Times New Roman" w:cs="Times New Roman"/>
        <w:sz w:val="20"/>
        <w:szCs w:val="20"/>
      </w:rPr>
      <w:t>SManot_</w:t>
    </w:r>
    <w:r w:rsidR="00375657">
      <w:rPr>
        <w:rFonts w:ascii="Times New Roman" w:hAnsi="Times New Roman" w:cs="Times New Roman"/>
        <w:sz w:val="20"/>
        <w:szCs w:val="20"/>
      </w:rPr>
      <w:t>1109</w:t>
    </w:r>
    <w:r w:rsidR="00375657" w:rsidRPr="00D56790">
      <w:rPr>
        <w:rFonts w:ascii="Times New Roman" w:hAnsi="Times New Roman" w:cs="Times New Roman"/>
        <w:sz w:val="20"/>
        <w:szCs w:val="20"/>
      </w:rPr>
      <w:t>20</w:t>
    </w:r>
    <w:r w:rsidRPr="00D56790">
      <w:rPr>
        <w:rFonts w:ascii="Times New Roman" w:hAnsi="Times New Roman" w:cs="Times New Roman"/>
        <w:sz w:val="20"/>
        <w:szCs w:val="20"/>
      </w:rPr>
      <w:t>_GrozMK1171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D614B" w14:textId="77777777" w:rsidR="00936DDE" w:rsidRDefault="00936DDE" w:rsidP="00894C55">
      <w:pPr>
        <w:spacing w:after="0" w:line="240" w:lineRule="auto"/>
      </w:pPr>
      <w:r>
        <w:separator/>
      </w:r>
    </w:p>
  </w:footnote>
  <w:footnote w:type="continuationSeparator" w:id="0">
    <w:p w14:paraId="4D1CDBB7" w14:textId="77777777" w:rsidR="00936DDE" w:rsidRDefault="00936DDE" w:rsidP="00894C55">
      <w:pPr>
        <w:spacing w:after="0" w:line="240" w:lineRule="auto"/>
      </w:pPr>
      <w:r>
        <w:continuationSeparator/>
      </w:r>
    </w:p>
  </w:footnote>
  <w:footnote w:id="1">
    <w:p w14:paraId="21A9F144" w14:textId="7E0B3B0B" w:rsidR="00206B33" w:rsidRPr="00EA43CF" w:rsidRDefault="00206B33">
      <w:pPr>
        <w:pStyle w:val="FootnoteText"/>
        <w:rPr>
          <w:rFonts w:ascii="Times New Roman" w:hAnsi="Times New Roman" w:cs="Times New Roman"/>
        </w:rPr>
      </w:pPr>
      <w:r w:rsidRPr="00EA43CF">
        <w:rPr>
          <w:rStyle w:val="FootnoteReference"/>
          <w:rFonts w:ascii="Times New Roman" w:hAnsi="Times New Roman" w:cs="Times New Roman"/>
        </w:rPr>
        <w:footnoteRef/>
      </w:r>
      <w:r w:rsidRPr="00EA43CF">
        <w:rPr>
          <w:rFonts w:ascii="Times New Roman" w:hAnsi="Times New Roman" w:cs="Times New Roman"/>
        </w:rPr>
        <w:t xml:space="preserve"> </w:t>
      </w:r>
      <w:hyperlink r:id="rId1" w:history="1">
        <w:r w:rsidRPr="00EA43CF">
          <w:rPr>
            <w:rStyle w:val="Hyperlink"/>
            <w:rFonts w:ascii="Times New Roman" w:hAnsi="Times New Roman" w:cs="Times New Roman"/>
          </w:rPr>
          <w:t>https://www.vestnesis.lv/op/2019/11.1</w:t>
        </w:r>
      </w:hyperlink>
    </w:p>
  </w:footnote>
  <w:footnote w:id="2">
    <w:p w14:paraId="47F9BF52" w14:textId="1BD215A9" w:rsidR="00206B33" w:rsidRDefault="00206B33" w:rsidP="000248C7">
      <w:pPr>
        <w:pStyle w:val="FootnoteText"/>
      </w:pPr>
      <w:r w:rsidRPr="00EA43CF">
        <w:rPr>
          <w:rStyle w:val="FootnoteReference"/>
          <w:rFonts w:ascii="Times New Roman" w:hAnsi="Times New Roman" w:cs="Times New Roman"/>
        </w:rPr>
        <w:footnoteRef/>
      </w:r>
      <w:hyperlink r:id="rId2" w:history="1">
        <w:r w:rsidRPr="00EA43CF">
          <w:rPr>
            <w:rStyle w:val="Hyperlink"/>
            <w:rFonts w:ascii="Times New Roman" w:hAnsi="Times New Roman" w:cs="Times New Roman"/>
          </w:rPr>
          <w:t>http://titania.saeima.lv/LIVS12/SaeimaLIVS12.nsf/0/B0A5FC20FFC82C52C225824300248A3F?OpenDocument</w:t>
        </w:r>
      </w:hyperlink>
    </w:p>
  </w:footnote>
  <w:footnote w:id="3">
    <w:p w14:paraId="253D048C" w14:textId="6A20477B" w:rsidR="00206B33" w:rsidRPr="00EA43CF" w:rsidRDefault="00206B33">
      <w:pPr>
        <w:pStyle w:val="FootnoteText"/>
        <w:rPr>
          <w:rFonts w:ascii="Times New Roman" w:hAnsi="Times New Roman" w:cs="Times New Roman"/>
        </w:rPr>
      </w:pPr>
      <w:r w:rsidRPr="00EA43CF">
        <w:rPr>
          <w:rStyle w:val="FootnoteReference"/>
          <w:rFonts w:ascii="Times New Roman" w:hAnsi="Times New Roman" w:cs="Times New Roman"/>
        </w:rPr>
        <w:footnoteRef/>
      </w:r>
      <w:r w:rsidRPr="00EA43CF">
        <w:rPr>
          <w:rFonts w:ascii="Times New Roman" w:hAnsi="Times New Roman" w:cs="Times New Roman"/>
        </w:rPr>
        <w:t xml:space="preserve"> </w:t>
      </w:r>
      <w:hyperlink r:id="rId3" w:history="1">
        <w:r w:rsidRPr="00EA43CF">
          <w:rPr>
            <w:rStyle w:val="Hyperlink"/>
            <w:rFonts w:ascii="Times New Roman" w:hAnsi="Times New Roman" w:cs="Times New Roman"/>
            <w:u w:val="none"/>
          </w:rPr>
          <w:t>https://www.lhd.lv/ATONLV/pub/391</w:t>
        </w:r>
      </w:hyperlink>
    </w:p>
  </w:footnote>
  <w:footnote w:id="4">
    <w:p w14:paraId="37F8933A" w14:textId="586BED3C" w:rsidR="00206B33" w:rsidRDefault="00206B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E6249A">
          <w:rPr>
            <w:rStyle w:val="Hyperlink"/>
            <w:rFonts w:ascii="Times New Roman" w:hAnsi="Times New Roman" w:cs="Times New Roman"/>
          </w:rPr>
          <w:t>http://www.emsa.europa.eu/ssn-main/documents.html</w:t>
        </w:r>
      </w:hyperlink>
    </w:p>
  </w:footnote>
  <w:footnote w:id="5">
    <w:p w14:paraId="09FC0A61" w14:textId="312C8E90" w:rsidR="00206B33" w:rsidRDefault="00206B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E6249A">
          <w:rPr>
            <w:rStyle w:val="Hyperlink"/>
            <w:rFonts w:ascii="Times New Roman" w:hAnsi="Times New Roman" w:cs="Times New Roman"/>
          </w:rPr>
          <w:t>https://www.sam.gov.lv/lv/izstrade-esosie-attistibas-planosanas-dokumenti-un-tiesibu-akti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9DC30" w14:textId="77777777" w:rsidR="00375657" w:rsidRDefault="00375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249375A" w14:textId="77777777" w:rsidR="00206B33" w:rsidRPr="00C25B49" w:rsidRDefault="00206B33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BF75B0">
          <w:rPr>
            <w:rFonts w:ascii="Times New Roman" w:hAnsi="Times New Roman" w:cs="Times New Roman"/>
            <w:noProof/>
            <w:sz w:val="24"/>
            <w:szCs w:val="20"/>
          </w:rPr>
          <w:t>6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86EA9" w14:textId="77777777" w:rsidR="00375657" w:rsidRDefault="00375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4384"/>
    <w:multiLevelType w:val="hybridMultilevel"/>
    <w:tmpl w:val="93826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1F24"/>
    <w:multiLevelType w:val="hybridMultilevel"/>
    <w:tmpl w:val="93826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027"/>
    <w:multiLevelType w:val="hybridMultilevel"/>
    <w:tmpl w:val="93826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F0C"/>
    <w:multiLevelType w:val="hybridMultilevel"/>
    <w:tmpl w:val="58B8F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3180"/>
    <w:multiLevelType w:val="hybridMultilevel"/>
    <w:tmpl w:val="72049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30E2"/>
    <w:multiLevelType w:val="hybridMultilevel"/>
    <w:tmpl w:val="32F41B8E"/>
    <w:lvl w:ilvl="0" w:tplc="0DF27B4A">
      <w:start w:val="2019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044E"/>
    <w:multiLevelType w:val="hybridMultilevel"/>
    <w:tmpl w:val="BF74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27758"/>
    <w:multiLevelType w:val="hybridMultilevel"/>
    <w:tmpl w:val="B60EC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63179"/>
    <w:multiLevelType w:val="hybridMultilevel"/>
    <w:tmpl w:val="E346A1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0825"/>
    <w:multiLevelType w:val="hybridMultilevel"/>
    <w:tmpl w:val="B60EC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36BFB"/>
    <w:multiLevelType w:val="hybridMultilevel"/>
    <w:tmpl w:val="671059AA"/>
    <w:lvl w:ilvl="0" w:tplc="29642D9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6B42481"/>
    <w:multiLevelType w:val="hybridMultilevel"/>
    <w:tmpl w:val="58B8F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05D64"/>
    <w:multiLevelType w:val="hybridMultilevel"/>
    <w:tmpl w:val="D6B8E5BA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107EE"/>
    <w:multiLevelType w:val="hybridMultilevel"/>
    <w:tmpl w:val="58B8F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7787E"/>
    <w:multiLevelType w:val="hybridMultilevel"/>
    <w:tmpl w:val="A022C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453CF"/>
    <w:multiLevelType w:val="hybridMultilevel"/>
    <w:tmpl w:val="FB14E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359A7"/>
    <w:multiLevelType w:val="hybridMultilevel"/>
    <w:tmpl w:val="4FFE2F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0685"/>
    <w:multiLevelType w:val="hybridMultilevel"/>
    <w:tmpl w:val="A022C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A78B4"/>
    <w:multiLevelType w:val="hybridMultilevel"/>
    <w:tmpl w:val="FDDA2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36A3C"/>
    <w:multiLevelType w:val="hybridMultilevel"/>
    <w:tmpl w:val="9AB21F08"/>
    <w:lvl w:ilvl="0" w:tplc="0DF27B4A">
      <w:start w:val="2019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51624"/>
    <w:multiLevelType w:val="hybridMultilevel"/>
    <w:tmpl w:val="60B8D24C"/>
    <w:lvl w:ilvl="0" w:tplc="0DF27B4A">
      <w:start w:val="2019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6F6A06FE"/>
    <w:multiLevelType w:val="hybridMultilevel"/>
    <w:tmpl w:val="922C14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C738A"/>
    <w:multiLevelType w:val="hybridMultilevel"/>
    <w:tmpl w:val="4EDCACB4"/>
    <w:lvl w:ilvl="0" w:tplc="B5ECAB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14790"/>
    <w:multiLevelType w:val="hybridMultilevel"/>
    <w:tmpl w:val="7F44C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B79AE"/>
    <w:multiLevelType w:val="hybridMultilevel"/>
    <w:tmpl w:val="3C945E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80D09"/>
    <w:multiLevelType w:val="hybridMultilevel"/>
    <w:tmpl w:val="5448C8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5"/>
  </w:num>
  <w:num w:numId="4">
    <w:abstractNumId w:val="18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5"/>
  </w:num>
  <w:num w:numId="10">
    <w:abstractNumId w:val="19"/>
  </w:num>
  <w:num w:numId="11">
    <w:abstractNumId w:val="6"/>
  </w:num>
  <w:num w:numId="12">
    <w:abstractNumId w:val="17"/>
  </w:num>
  <w:num w:numId="13">
    <w:abstractNumId w:val="11"/>
  </w:num>
  <w:num w:numId="14">
    <w:abstractNumId w:val="3"/>
  </w:num>
  <w:num w:numId="15">
    <w:abstractNumId w:val="14"/>
  </w:num>
  <w:num w:numId="16">
    <w:abstractNumId w:val="4"/>
  </w:num>
  <w:num w:numId="17">
    <w:abstractNumId w:val="8"/>
  </w:num>
  <w:num w:numId="18">
    <w:abstractNumId w:val="24"/>
  </w:num>
  <w:num w:numId="19">
    <w:abstractNumId w:val="1"/>
  </w:num>
  <w:num w:numId="20">
    <w:abstractNumId w:val="0"/>
  </w:num>
  <w:num w:numId="21">
    <w:abstractNumId w:val="2"/>
  </w:num>
  <w:num w:numId="22">
    <w:abstractNumId w:val="21"/>
  </w:num>
  <w:num w:numId="23">
    <w:abstractNumId w:val="12"/>
  </w:num>
  <w:num w:numId="24">
    <w:abstractNumId w:val="16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5"/>
    <w:rsid w:val="00003A01"/>
    <w:rsid w:val="00015B92"/>
    <w:rsid w:val="000218D4"/>
    <w:rsid w:val="000248C7"/>
    <w:rsid w:val="00031C85"/>
    <w:rsid w:val="0003330D"/>
    <w:rsid w:val="00042C09"/>
    <w:rsid w:val="00043B7C"/>
    <w:rsid w:val="00046C89"/>
    <w:rsid w:val="000501DD"/>
    <w:rsid w:val="00054887"/>
    <w:rsid w:val="00064BA2"/>
    <w:rsid w:val="00085487"/>
    <w:rsid w:val="0009554D"/>
    <w:rsid w:val="00096CAB"/>
    <w:rsid w:val="000B2559"/>
    <w:rsid w:val="000C526B"/>
    <w:rsid w:val="000C7E27"/>
    <w:rsid w:val="000D4681"/>
    <w:rsid w:val="000E69F8"/>
    <w:rsid w:val="000F214B"/>
    <w:rsid w:val="00102543"/>
    <w:rsid w:val="00106281"/>
    <w:rsid w:val="00113289"/>
    <w:rsid w:val="00116BAF"/>
    <w:rsid w:val="00131060"/>
    <w:rsid w:val="0013439C"/>
    <w:rsid w:val="001427BE"/>
    <w:rsid w:val="00144113"/>
    <w:rsid w:val="00147174"/>
    <w:rsid w:val="00151526"/>
    <w:rsid w:val="00161C09"/>
    <w:rsid w:val="00173EF8"/>
    <w:rsid w:val="0017564E"/>
    <w:rsid w:val="001903FF"/>
    <w:rsid w:val="0019743F"/>
    <w:rsid w:val="0019752D"/>
    <w:rsid w:val="001A3244"/>
    <w:rsid w:val="001B5A7C"/>
    <w:rsid w:val="001C077A"/>
    <w:rsid w:val="001D0958"/>
    <w:rsid w:val="001D3245"/>
    <w:rsid w:val="001F2FDB"/>
    <w:rsid w:val="001F5921"/>
    <w:rsid w:val="001F6A83"/>
    <w:rsid w:val="002013D1"/>
    <w:rsid w:val="00202809"/>
    <w:rsid w:val="00206B33"/>
    <w:rsid w:val="00230951"/>
    <w:rsid w:val="002332D9"/>
    <w:rsid w:val="00243426"/>
    <w:rsid w:val="00245D76"/>
    <w:rsid w:val="00250778"/>
    <w:rsid w:val="00267288"/>
    <w:rsid w:val="00270109"/>
    <w:rsid w:val="002709A0"/>
    <w:rsid w:val="002716BB"/>
    <w:rsid w:val="002839B8"/>
    <w:rsid w:val="00287FD0"/>
    <w:rsid w:val="002A1895"/>
    <w:rsid w:val="002A5D65"/>
    <w:rsid w:val="002B01A6"/>
    <w:rsid w:val="002B031F"/>
    <w:rsid w:val="002B1077"/>
    <w:rsid w:val="002B4808"/>
    <w:rsid w:val="002C2540"/>
    <w:rsid w:val="002C5C29"/>
    <w:rsid w:val="002D298D"/>
    <w:rsid w:val="002E028E"/>
    <w:rsid w:val="002E1C05"/>
    <w:rsid w:val="003028B7"/>
    <w:rsid w:val="00304568"/>
    <w:rsid w:val="0031741B"/>
    <w:rsid w:val="003271F1"/>
    <w:rsid w:val="00327E1E"/>
    <w:rsid w:val="00332A1C"/>
    <w:rsid w:val="00342568"/>
    <w:rsid w:val="00375224"/>
    <w:rsid w:val="00375657"/>
    <w:rsid w:val="00381876"/>
    <w:rsid w:val="00397B1C"/>
    <w:rsid w:val="003B0BF9"/>
    <w:rsid w:val="003B3D37"/>
    <w:rsid w:val="003C5ED6"/>
    <w:rsid w:val="003C710F"/>
    <w:rsid w:val="003D7258"/>
    <w:rsid w:val="003E0791"/>
    <w:rsid w:val="003E3868"/>
    <w:rsid w:val="003F28AC"/>
    <w:rsid w:val="003F5417"/>
    <w:rsid w:val="00401F03"/>
    <w:rsid w:val="004032BB"/>
    <w:rsid w:val="00407D1D"/>
    <w:rsid w:val="0041080E"/>
    <w:rsid w:val="00413D9B"/>
    <w:rsid w:val="00431A0A"/>
    <w:rsid w:val="004454FE"/>
    <w:rsid w:val="00450A92"/>
    <w:rsid w:val="00452AC6"/>
    <w:rsid w:val="00453393"/>
    <w:rsid w:val="00456E40"/>
    <w:rsid w:val="004614C6"/>
    <w:rsid w:val="00471F27"/>
    <w:rsid w:val="00472EE7"/>
    <w:rsid w:val="00481397"/>
    <w:rsid w:val="004A122C"/>
    <w:rsid w:val="004B0744"/>
    <w:rsid w:val="004B38FB"/>
    <w:rsid w:val="004B4989"/>
    <w:rsid w:val="004D60A6"/>
    <w:rsid w:val="004F2DA7"/>
    <w:rsid w:val="004F3D3D"/>
    <w:rsid w:val="005005D1"/>
    <w:rsid w:val="0050178F"/>
    <w:rsid w:val="005052F1"/>
    <w:rsid w:val="00513F0C"/>
    <w:rsid w:val="005252BB"/>
    <w:rsid w:val="005328D0"/>
    <w:rsid w:val="00536F40"/>
    <w:rsid w:val="0054019D"/>
    <w:rsid w:val="00547879"/>
    <w:rsid w:val="0055064C"/>
    <w:rsid w:val="00553684"/>
    <w:rsid w:val="0056114D"/>
    <w:rsid w:val="00566DE3"/>
    <w:rsid w:val="00573EAC"/>
    <w:rsid w:val="00581FF0"/>
    <w:rsid w:val="00595834"/>
    <w:rsid w:val="005D0DB3"/>
    <w:rsid w:val="005D67AA"/>
    <w:rsid w:val="005D7BAA"/>
    <w:rsid w:val="005E707B"/>
    <w:rsid w:val="005F1650"/>
    <w:rsid w:val="006153F1"/>
    <w:rsid w:val="00616D4A"/>
    <w:rsid w:val="0062020B"/>
    <w:rsid w:val="00624947"/>
    <w:rsid w:val="006252E2"/>
    <w:rsid w:val="00626D84"/>
    <w:rsid w:val="00633F21"/>
    <w:rsid w:val="0063697F"/>
    <w:rsid w:val="00641988"/>
    <w:rsid w:val="00642D9F"/>
    <w:rsid w:val="00646F70"/>
    <w:rsid w:val="00655F2C"/>
    <w:rsid w:val="006572D2"/>
    <w:rsid w:val="006623CF"/>
    <w:rsid w:val="00673060"/>
    <w:rsid w:val="006A3554"/>
    <w:rsid w:val="006A3BD4"/>
    <w:rsid w:val="006B3D51"/>
    <w:rsid w:val="006B585C"/>
    <w:rsid w:val="006B72CD"/>
    <w:rsid w:val="006C1A5F"/>
    <w:rsid w:val="006C4FEB"/>
    <w:rsid w:val="006C58FC"/>
    <w:rsid w:val="006D00A3"/>
    <w:rsid w:val="006D4A21"/>
    <w:rsid w:val="006D59B7"/>
    <w:rsid w:val="006E1081"/>
    <w:rsid w:val="006F78AF"/>
    <w:rsid w:val="00720585"/>
    <w:rsid w:val="007308D8"/>
    <w:rsid w:val="00740B4A"/>
    <w:rsid w:val="007449E0"/>
    <w:rsid w:val="00761902"/>
    <w:rsid w:val="00772203"/>
    <w:rsid w:val="00773AF6"/>
    <w:rsid w:val="007809FD"/>
    <w:rsid w:val="00783097"/>
    <w:rsid w:val="00795F71"/>
    <w:rsid w:val="00796A88"/>
    <w:rsid w:val="00797E36"/>
    <w:rsid w:val="007C52A5"/>
    <w:rsid w:val="007D3FCB"/>
    <w:rsid w:val="007E5F7A"/>
    <w:rsid w:val="007E6040"/>
    <w:rsid w:val="007E73AB"/>
    <w:rsid w:val="007F6154"/>
    <w:rsid w:val="007F75DD"/>
    <w:rsid w:val="00816C11"/>
    <w:rsid w:val="0082760A"/>
    <w:rsid w:val="0086261F"/>
    <w:rsid w:val="00864F96"/>
    <w:rsid w:val="00867C0B"/>
    <w:rsid w:val="008714F0"/>
    <w:rsid w:val="00873E30"/>
    <w:rsid w:val="00894C55"/>
    <w:rsid w:val="00894FFE"/>
    <w:rsid w:val="008B28A7"/>
    <w:rsid w:val="008D4DCD"/>
    <w:rsid w:val="008E19D9"/>
    <w:rsid w:val="008E3BDD"/>
    <w:rsid w:val="008E60E1"/>
    <w:rsid w:val="008F10E2"/>
    <w:rsid w:val="008F676F"/>
    <w:rsid w:val="008F6DB1"/>
    <w:rsid w:val="009057EB"/>
    <w:rsid w:val="00907A93"/>
    <w:rsid w:val="00911880"/>
    <w:rsid w:val="009120B2"/>
    <w:rsid w:val="0091247E"/>
    <w:rsid w:val="00913FF3"/>
    <w:rsid w:val="00936DDE"/>
    <w:rsid w:val="00937ADD"/>
    <w:rsid w:val="00940037"/>
    <w:rsid w:val="00942984"/>
    <w:rsid w:val="00953F65"/>
    <w:rsid w:val="00956300"/>
    <w:rsid w:val="009621AC"/>
    <w:rsid w:val="00971038"/>
    <w:rsid w:val="0097305D"/>
    <w:rsid w:val="00982611"/>
    <w:rsid w:val="00985C3E"/>
    <w:rsid w:val="009906B9"/>
    <w:rsid w:val="009A2654"/>
    <w:rsid w:val="009A332B"/>
    <w:rsid w:val="009B22B5"/>
    <w:rsid w:val="009B59DF"/>
    <w:rsid w:val="009C635D"/>
    <w:rsid w:val="009E1625"/>
    <w:rsid w:val="009E29B5"/>
    <w:rsid w:val="009E479B"/>
    <w:rsid w:val="009E73C9"/>
    <w:rsid w:val="00A00FF6"/>
    <w:rsid w:val="00A10FC3"/>
    <w:rsid w:val="00A12AF7"/>
    <w:rsid w:val="00A1780A"/>
    <w:rsid w:val="00A267BA"/>
    <w:rsid w:val="00A270CF"/>
    <w:rsid w:val="00A337C4"/>
    <w:rsid w:val="00A5499E"/>
    <w:rsid w:val="00A55D18"/>
    <w:rsid w:val="00A56AEA"/>
    <w:rsid w:val="00A6073E"/>
    <w:rsid w:val="00A60B12"/>
    <w:rsid w:val="00A61452"/>
    <w:rsid w:val="00A657F8"/>
    <w:rsid w:val="00A663CC"/>
    <w:rsid w:val="00A66D83"/>
    <w:rsid w:val="00A70017"/>
    <w:rsid w:val="00A7489E"/>
    <w:rsid w:val="00A90AEF"/>
    <w:rsid w:val="00A92403"/>
    <w:rsid w:val="00A9648E"/>
    <w:rsid w:val="00AA267C"/>
    <w:rsid w:val="00AB40B0"/>
    <w:rsid w:val="00AC3858"/>
    <w:rsid w:val="00AC67CD"/>
    <w:rsid w:val="00AD7607"/>
    <w:rsid w:val="00AE5567"/>
    <w:rsid w:val="00AF1239"/>
    <w:rsid w:val="00AF4CF5"/>
    <w:rsid w:val="00AF6DA1"/>
    <w:rsid w:val="00AF7580"/>
    <w:rsid w:val="00B018AB"/>
    <w:rsid w:val="00B02F55"/>
    <w:rsid w:val="00B038FF"/>
    <w:rsid w:val="00B10748"/>
    <w:rsid w:val="00B16480"/>
    <w:rsid w:val="00B2084D"/>
    <w:rsid w:val="00B2165C"/>
    <w:rsid w:val="00B22FE7"/>
    <w:rsid w:val="00B560AA"/>
    <w:rsid w:val="00B6399E"/>
    <w:rsid w:val="00B70AF2"/>
    <w:rsid w:val="00B83C4E"/>
    <w:rsid w:val="00B97E6A"/>
    <w:rsid w:val="00BA20AA"/>
    <w:rsid w:val="00BB3FFD"/>
    <w:rsid w:val="00BB59DE"/>
    <w:rsid w:val="00BC09AB"/>
    <w:rsid w:val="00BC31DA"/>
    <w:rsid w:val="00BD0CC7"/>
    <w:rsid w:val="00BD43DE"/>
    <w:rsid w:val="00BD4425"/>
    <w:rsid w:val="00BE19A9"/>
    <w:rsid w:val="00BE3B41"/>
    <w:rsid w:val="00BE4B93"/>
    <w:rsid w:val="00BF75B0"/>
    <w:rsid w:val="00C00872"/>
    <w:rsid w:val="00C019E5"/>
    <w:rsid w:val="00C11A7D"/>
    <w:rsid w:val="00C12488"/>
    <w:rsid w:val="00C24288"/>
    <w:rsid w:val="00C25B49"/>
    <w:rsid w:val="00C63479"/>
    <w:rsid w:val="00C72EF2"/>
    <w:rsid w:val="00C73278"/>
    <w:rsid w:val="00C83443"/>
    <w:rsid w:val="00C864E4"/>
    <w:rsid w:val="00CA4C43"/>
    <w:rsid w:val="00CB04A8"/>
    <w:rsid w:val="00CB0E5A"/>
    <w:rsid w:val="00CB1A2F"/>
    <w:rsid w:val="00CC0D2D"/>
    <w:rsid w:val="00CC1232"/>
    <w:rsid w:val="00CD0493"/>
    <w:rsid w:val="00CE5657"/>
    <w:rsid w:val="00CF643F"/>
    <w:rsid w:val="00D0583F"/>
    <w:rsid w:val="00D05972"/>
    <w:rsid w:val="00D133F8"/>
    <w:rsid w:val="00D14A3E"/>
    <w:rsid w:val="00D169B2"/>
    <w:rsid w:val="00D2416B"/>
    <w:rsid w:val="00D27139"/>
    <w:rsid w:val="00D45D27"/>
    <w:rsid w:val="00D5018F"/>
    <w:rsid w:val="00D52DB9"/>
    <w:rsid w:val="00D56790"/>
    <w:rsid w:val="00D62228"/>
    <w:rsid w:val="00D64BC8"/>
    <w:rsid w:val="00DA2BF7"/>
    <w:rsid w:val="00DA6BD7"/>
    <w:rsid w:val="00DE244C"/>
    <w:rsid w:val="00DE49CB"/>
    <w:rsid w:val="00E13150"/>
    <w:rsid w:val="00E21122"/>
    <w:rsid w:val="00E31081"/>
    <w:rsid w:val="00E34D25"/>
    <w:rsid w:val="00E3716B"/>
    <w:rsid w:val="00E40822"/>
    <w:rsid w:val="00E45FB9"/>
    <w:rsid w:val="00E50CEF"/>
    <w:rsid w:val="00E5323B"/>
    <w:rsid w:val="00E5659B"/>
    <w:rsid w:val="00E6249A"/>
    <w:rsid w:val="00E627D1"/>
    <w:rsid w:val="00E62D72"/>
    <w:rsid w:val="00E741F6"/>
    <w:rsid w:val="00E74C95"/>
    <w:rsid w:val="00E7759F"/>
    <w:rsid w:val="00E8247A"/>
    <w:rsid w:val="00E8749E"/>
    <w:rsid w:val="00E90C01"/>
    <w:rsid w:val="00E916B3"/>
    <w:rsid w:val="00EA43CF"/>
    <w:rsid w:val="00EA486E"/>
    <w:rsid w:val="00EA6EAC"/>
    <w:rsid w:val="00EC1D73"/>
    <w:rsid w:val="00EC2466"/>
    <w:rsid w:val="00EC3D33"/>
    <w:rsid w:val="00ED025D"/>
    <w:rsid w:val="00ED5A2C"/>
    <w:rsid w:val="00EE64C3"/>
    <w:rsid w:val="00F002B3"/>
    <w:rsid w:val="00F05270"/>
    <w:rsid w:val="00F205C8"/>
    <w:rsid w:val="00F21EE4"/>
    <w:rsid w:val="00F30A1D"/>
    <w:rsid w:val="00F317A4"/>
    <w:rsid w:val="00F511ED"/>
    <w:rsid w:val="00F54702"/>
    <w:rsid w:val="00F57B0C"/>
    <w:rsid w:val="00F71C96"/>
    <w:rsid w:val="00F7565A"/>
    <w:rsid w:val="00F8155E"/>
    <w:rsid w:val="00F85E80"/>
    <w:rsid w:val="00F91903"/>
    <w:rsid w:val="00FB5E3C"/>
    <w:rsid w:val="00FC3FDA"/>
    <w:rsid w:val="00FC6F94"/>
    <w:rsid w:val="00FD3E2E"/>
    <w:rsid w:val="00FE103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B67A"/>
  <w15:docId w15:val="{D62DCA8E-7E1B-409D-98BC-D81E26E1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9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0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C6F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F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F94"/>
    <w:rPr>
      <w:vertAlign w:val="superscript"/>
    </w:rPr>
  </w:style>
  <w:style w:type="paragraph" w:customStyle="1" w:styleId="title-doc-first">
    <w:name w:val="title-doc-first"/>
    <w:basedOn w:val="Normal"/>
    <w:rsid w:val="005D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1">
    <w:name w:val="CM1"/>
    <w:basedOn w:val="Normal"/>
    <w:next w:val="Normal"/>
    <w:uiPriority w:val="99"/>
    <w:rsid w:val="00F30A1D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  <w:lang w:val="en-US"/>
    </w:rPr>
  </w:style>
  <w:style w:type="paragraph" w:customStyle="1" w:styleId="CM3">
    <w:name w:val="CM3"/>
    <w:basedOn w:val="Normal"/>
    <w:next w:val="Normal"/>
    <w:uiPriority w:val="99"/>
    <w:rsid w:val="00F30A1D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0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0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B255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E8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9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4609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86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82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06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682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57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531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8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55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73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597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0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6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hd.lv/ATONLV/pub/391" TargetMode="External"/><Relationship Id="rId2" Type="http://schemas.openxmlformats.org/officeDocument/2006/relationships/hyperlink" Target="http://titania.saeima.lv/LIVS12/SaeimaLIVS12.nsf/0/B0A5FC20FFC82C52C225824300248A3F?OpenDocument" TargetMode="External"/><Relationship Id="rId1" Type="http://schemas.openxmlformats.org/officeDocument/2006/relationships/hyperlink" Target="https://www.vestnesis.lv/op/2019/11.1" TargetMode="External"/><Relationship Id="rId5" Type="http://schemas.openxmlformats.org/officeDocument/2006/relationships/hyperlink" Target="https://www.sam.gov.lv/lv/izstrade-esosie-attistibas-planosanas-dokumenti-un-tiesibu-akti" TargetMode="External"/><Relationship Id="rId4" Type="http://schemas.openxmlformats.org/officeDocument/2006/relationships/hyperlink" Target="http://www.emsa.europa.eu/ssn-main/docu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193F9-125D-4A21-A536-6E306281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6922</Words>
  <Characters>3946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2010. gada 21. decembra noteikumos Nr. 1171 "Noteikumi par Latvijas ūdeņu izmantošanas kārtību un kuģošanas režīmu tajos"</vt:lpstr>
    </vt:vector>
  </TitlesOfParts>
  <Manager/>
  <Company>Satiksmes ministrija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2010. gada 21. decembra noteikumos Nr. 1171 "Noteikumi par Latvijas ūdeņu izmantošanas kārtību un kuģošanas režīmu tajos"</dc:title>
  <dc:subject>Anotācija</dc:subject>
  <dc:creator>viesturs.rusko@lja.lv</dc:creator>
  <dc:description>67062127, viesturs.rusko@lja.lv</dc:description>
  <cp:lastModifiedBy>Laima Rituma</cp:lastModifiedBy>
  <cp:revision>5</cp:revision>
  <cp:lastPrinted>2019-10-10T14:23:00Z</cp:lastPrinted>
  <dcterms:created xsi:type="dcterms:W3CDTF">2020-09-11T08:27:00Z</dcterms:created>
  <dcterms:modified xsi:type="dcterms:W3CDTF">2020-09-11T09:07:00Z</dcterms:modified>
</cp:coreProperties>
</file>