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C7B8" w14:textId="47596CF0" w:rsidR="005A6187" w:rsidRPr="00A63208" w:rsidRDefault="005A6187" w:rsidP="005A6187">
      <w:pPr>
        <w:snapToGrid w:val="0"/>
        <w:spacing w:after="0" w:line="240" w:lineRule="auto"/>
        <w:ind w:firstLine="720"/>
        <w:jc w:val="center"/>
        <w:rPr>
          <w:rFonts w:ascii="Times New Roman" w:hAnsi="Times New Roman" w:cs="Times New Roman"/>
          <w:b/>
          <w:bCs/>
          <w:sz w:val="26"/>
          <w:szCs w:val="26"/>
        </w:rPr>
      </w:pPr>
      <w:r w:rsidRPr="00A63208">
        <w:rPr>
          <w:rFonts w:ascii="Times New Roman" w:hAnsi="Times New Roman" w:cs="Times New Roman"/>
          <w:b/>
          <w:sz w:val="26"/>
          <w:szCs w:val="26"/>
        </w:rPr>
        <w:t xml:space="preserve">Ministru kabineta rīkojuma projekta „Par valsts akciju sabiedrības “Latvijas </w:t>
      </w:r>
      <w:r w:rsidR="006E2357">
        <w:rPr>
          <w:rFonts w:ascii="Times New Roman" w:hAnsi="Times New Roman" w:cs="Times New Roman"/>
          <w:b/>
          <w:sz w:val="26"/>
          <w:szCs w:val="26"/>
        </w:rPr>
        <w:t>Pasts</w:t>
      </w:r>
      <w:r w:rsidRPr="00A63208">
        <w:rPr>
          <w:rFonts w:ascii="Times New Roman" w:hAnsi="Times New Roman" w:cs="Times New Roman"/>
          <w:b/>
          <w:sz w:val="26"/>
          <w:szCs w:val="26"/>
        </w:rPr>
        <w:t xml:space="preserve">” vispārējo stratēģisko mērķi” sākotnējās ietekmes novērtējuma </w:t>
      </w:r>
      <w:smartTag w:uri="schemas-tilde-lv/tildestengine" w:element="veidnes">
        <w:smartTagPr>
          <w:attr w:name="id" w:val="-1"/>
          <w:attr w:name="baseform" w:val="ziņojums"/>
          <w:attr w:name="text" w:val="ziņojums"/>
        </w:smartTagPr>
        <w:r w:rsidRPr="00A63208">
          <w:rPr>
            <w:rFonts w:ascii="Times New Roman" w:hAnsi="Times New Roman" w:cs="Times New Roman"/>
            <w:b/>
            <w:sz w:val="26"/>
            <w:szCs w:val="26"/>
          </w:rPr>
          <w:t>ziņojums</w:t>
        </w:r>
      </w:smartTag>
      <w:r w:rsidRPr="00A63208">
        <w:rPr>
          <w:rFonts w:ascii="Times New Roman" w:hAnsi="Times New Roman" w:cs="Times New Roman"/>
          <w:b/>
          <w:sz w:val="26"/>
          <w:szCs w:val="26"/>
        </w:rPr>
        <w:t xml:space="preserve"> (anotācija)</w:t>
      </w:r>
    </w:p>
    <w:p w14:paraId="4C308C26" w14:textId="77777777" w:rsidR="005A6187" w:rsidRPr="00A63208" w:rsidRDefault="005A6187" w:rsidP="005A6187">
      <w:pPr>
        <w:shd w:val="clear" w:color="auto" w:fill="FFFFFF"/>
        <w:snapToGrid w:val="0"/>
        <w:spacing w:after="0" w:line="240" w:lineRule="auto"/>
        <w:jc w:val="center"/>
        <w:rPr>
          <w:rFonts w:ascii="Times New Roman" w:eastAsia="Times New Roman" w:hAnsi="Times New Roman" w:cs="Times New Roman"/>
          <w:bCs/>
          <w:sz w:val="26"/>
          <w:szCs w:val="26"/>
          <w:lang w:eastAsia="lv-LV"/>
        </w:rPr>
      </w:pPr>
    </w:p>
    <w:tbl>
      <w:tblPr>
        <w:tblStyle w:val="TableGrid"/>
        <w:tblW w:w="4919" w:type="pct"/>
        <w:tblLook w:val="00A0" w:firstRow="1" w:lastRow="0" w:firstColumn="1" w:lastColumn="0" w:noHBand="0" w:noVBand="0"/>
      </w:tblPr>
      <w:tblGrid>
        <w:gridCol w:w="2547"/>
        <w:gridCol w:w="6648"/>
      </w:tblGrid>
      <w:tr w:rsidR="005A6187" w:rsidRPr="00A63208" w14:paraId="5073B144" w14:textId="77777777" w:rsidTr="00993F87">
        <w:tc>
          <w:tcPr>
            <w:tcW w:w="5000" w:type="pct"/>
            <w:gridSpan w:val="2"/>
          </w:tcPr>
          <w:p w14:paraId="7D7D7162" w14:textId="77777777" w:rsidR="005A6187" w:rsidRPr="00A63208" w:rsidRDefault="005A6187" w:rsidP="00993F87">
            <w:pPr>
              <w:snapToGrid w:val="0"/>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Tiesību akta projekta anotācijas kopsavilkums</w:t>
            </w:r>
          </w:p>
        </w:tc>
      </w:tr>
      <w:tr w:rsidR="005A6187" w:rsidRPr="00A63208" w14:paraId="371321C1" w14:textId="77777777" w:rsidTr="00993F87">
        <w:tc>
          <w:tcPr>
            <w:tcW w:w="1385" w:type="pct"/>
          </w:tcPr>
          <w:p w14:paraId="01645081" w14:textId="77777777" w:rsidR="005A6187" w:rsidRPr="00A63208" w:rsidRDefault="005A6187" w:rsidP="00993F87">
            <w:pPr>
              <w:snapToGrid w:val="0"/>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Mērķis, risinājums un projekta spēkā stāšanās laiks (500 zīmes bez atstarpēm)</w:t>
            </w:r>
          </w:p>
        </w:tc>
        <w:tc>
          <w:tcPr>
            <w:tcW w:w="3615" w:type="pct"/>
          </w:tcPr>
          <w:p w14:paraId="00710D54" w14:textId="03E4E973" w:rsidR="005A6187" w:rsidRPr="00A63208" w:rsidRDefault="00C72FBC" w:rsidP="00993F87">
            <w:pPr>
              <w:snapToGrid w:val="0"/>
              <w:ind w:firstLine="335"/>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Ministru kabineta rīkojuma </w:t>
            </w:r>
            <w:r w:rsidRPr="00C72FBC">
              <w:rPr>
                <w:rFonts w:ascii="Times New Roman" w:eastAsia="Times New Roman" w:hAnsi="Times New Roman" w:cs="Times New Roman"/>
                <w:sz w:val="26"/>
                <w:szCs w:val="26"/>
                <w:lang w:eastAsia="lv-LV"/>
              </w:rPr>
              <w:t>p</w:t>
            </w:r>
            <w:r w:rsidR="005A6187" w:rsidRPr="00C72FBC">
              <w:rPr>
                <w:rFonts w:ascii="Times New Roman" w:eastAsia="Times New Roman" w:hAnsi="Times New Roman" w:cs="Times New Roman"/>
                <w:sz w:val="26"/>
                <w:szCs w:val="26"/>
                <w:lang w:eastAsia="lv-LV"/>
              </w:rPr>
              <w:t>rojekta</w:t>
            </w:r>
            <w:r w:rsidRPr="00C72FBC">
              <w:rPr>
                <w:rFonts w:ascii="Times New Roman" w:eastAsia="Times New Roman" w:hAnsi="Times New Roman" w:cs="Times New Roman"/>
                <w:sz w:val="26"/>
                <w:szCs w:val="26"/>
                <w:lang w:eastAsia="lv-LV"/>
              </w:rPr>
              <w:t xml:space="preserve"> </w:t>
            </w:r>
            <w:r w:rsidRPr="00C72FBC">
              <w:rPr>
                <w:rFonts w:ascii="Times New Roman" w:hAnsi="Times New Roman" w:cs="Times New Roman"/>
                <w:sz w:val="26"/>
                <w:szCs w:val="26"/>
              </w:rPr>
              <w:t>„Par valsts akciju sabiedrības “Latvijas Pasts” vispārējo stratēģisko mērķi”</w:t>
            </w:r>
            <w:r>
              <w:rPr>
                <w:rFonts w:ascii="Times New Roman" w:hAnsi="Times New Roman" w:cs="Times New Roman"/>
                <w:sz w:val="26"/>
                <w:szCs w:val="26"/>
              </w:rPr>
              <w:t xml:space="preserve"> (turpmāk </w:t>
            </w:r>
            <w:r w:rsidR="00E04773">
              <w:rPr>
                <w:rFonts w:ascii="Times New Roman" w:hAnsi="Times New Roman" w:cs="Times New Roman"/>
                <w:sz w:val="26"/>
                <w:szCs w:val="26"/>
              </w:rPr>
              <w:t>-</w:t>
            </w:r>
            <w:r>
              <w:rPr>
                <w:rFonts w:ascii="Times New Roman" w:hAnsi="Times New Roman" w:cs="Times New Roman"/>
                <w:sz w:val="26"/>
                <w:szCs w:val="26"/>
              </w:rPr>
              <w:t>Projekts)</w:t>
            </w:r>
            <w:r w:rsidRPr="00C72FBC">
              <w:rPr>
                <w:rFonts w:ascii="Times New Roman" w:eastAsia="Times New Roman" w:hAnsi="Times New Roman" w:cs="Times New Roman"/>
                <w:sz w:val="26"/>
                <w:szCs w:val="26"/>
                <w:lang w:eastAsia="lv-LV"/>
              </w:rPr>
              <w:t xml:space="preserve"> </w:t>
            </w:r>
            <w:r w:rsidR="005A6187" w:rsidRPr="00A63208">
              <w:rPr>
                <w:rFonts w:ascii="Times New Roman" w:eastAsia="Times New Roman" w:hAnsi="Times New Roman" w:cs="Times New Roman"/>
                <w:sz w:val="26"/>
                <w:szCs w:val="26"/>
                <w:lang w:eastAsia="lv-LV"/>
              </w:rPr>
              <w:t xml:space="preserve"> mērķis ir atbilstoši </w:t>
            </w:r>
            <w:r w:rsidR="005A6187" w:rsidRPr="00A63208">
              <w:rPr>
                <w:rFonts w:ascii="Times New Roman" w:hAnsi="Times New Roman" w:cs="Times New Roman"/>
                <w:sz w:val="26"/>
                <w:szCs w:val="26"/>
              </w:rPr>
              <w:t xml:space="preserve">Publiskas personas kapitāla daļu un kapitālsabiedrību pārvaldības likuma </w:t>
            </w:r>
            <w:r w:rsidR="005A6187" w:rsidRPr="00A63208">
              <w:rPr>
                <w:rFonts w:ascii="Times New Roman" w:hAnsi="Times New Roman" w:cs="Times New Roman"/>
                <w:bCs/>
                <w:sz w:val="26"/>
                <w:szCs w:val="26"/>
              </w:rPr>
              <w:t>(turpmāk – Likums)</w:t>
            </w:r>
            <w:r w:rsidR="005A6187" w:rsidRPr="00A63208">
              <w:rPr>
                <w:rFonts w:ascii="Times New Roman" w:hAnsi="Times New Roman" w:cs="Times New Roman"/>
                <w:sz w:val="26"/>
                <w:szCs w:val="26"/>
              </w:rPr>
              <w:t xml:space="preserve"> </w:t>
            </w:r>
            <w:r w:rsidR="005A6187">
              <w:rPr>
                <w:rFonts w:ascii="Times New Roman" w:hAnsi="Times New Roman" w:cs="Times New Roman"/>
                <w:sz w:val="26"/>
                <w:szCs w:val="26"/>
              </w:rPr>
              <w:t>4</w:t>
            </w:r>
            <w:r w:rsidR="005A6187" w:rsidRPr="00A63208">
              <w:rPr>
                <w:rFonts w:ascii="Times New Roman" w:hAnsi="Times New Roman" w:cs="Times New Roman"/>
                <w:sz w:val="26"/>
                <w:szCs w:val="26"/>
              </w:rPr>
              <w:t>.panta pirm</w:t>
            </w:r>
            <w:r w:rsidR="00AD2049">
              <w:rPr>
                <w:rFonts w:ascii="Times New Roman" w:hAnsi="Times New Roman" w:cs="Times New Roman"/>
                <w:sz w:val="26"/>
                <w:szCs w:val="26"/>
              </w:rPr>
              <w:t>ajai</w:t>
            </w:r>
            <w:r w:rsidR="005A6187" w:rsidRPr="00A63208">
              <w:rPr>
                <w:rFonts w:ascii="Times New Roman" w:hAnsi="Times New Roman" w:cs="Times New Roman"/>
                <w:sz w:val="26"/>
                <w:szCs w:val="26"/>
              </w:rPr>
              <w:t xml:space="preserve"> daļa</w:t>
            </w:r>
            <w:r w:rsidR="00AD2049">
              <w:rPr>
                <w:rFonts w:ascii="Times New Roman" w:hAnsi="Times New Roman" w:cs="Times New Roman"/>
                <w:sz w:val="26"/>
                <w:szCs w:val="26"/>
              </w:rPr>
              <w:t>i</w:t>
            </w:r>
            <w:r w:rsidR="005A6187" w:rsidRPr="00A63208">
              <w:rPr>
                <w:rFonts w:ascii="Times New Roman" w:hAnsi="Times New Roman" w:cs="Times New Roman"/>
                <w:sz w:val="26"/>
                <w:szCs w:val="26"/>
              </w:rPr>
              <w:t xml:space="preserve"> un 7.pantam noteikt valsts akciju sabiedrības “Latvijas </w:t>
            </w:r>
            <w:r w:rsidR="00AD2049">
              <w:rPr>
                <w:rFonts w:ascii="Times New Roman" w:hAnsi="Times New Roman" w:cs="Times New Roman"/>
                <w:sz w:val="26"/>
                <w:szCs w:val="26"/>
              </w:rPr>
              <w:t>Pasts</w:t>
            </w:r>
            <w:r w:rsidR="005A6187" w:rsidRPr="00A63208">
              <w:rPr>
                <w:rFonts w:ascii="Times New Roman" w:hAnsi="Times New Roman" w:cs="Times New Roman"/>
                <w:sz w:val="26"/>
                <w:szCs w:val="26"/>
              </w:rPr>
              <w:t xml:space="preserve">” </w:t>
            </w:r>
            <w:r w:rsidR="00B07C1A">
              <w:rPr>
                <w:rFonts w:ascii="Times New Roman" w:hAnsi="Times New Roman" w:cs="Times New Roman"/>
                <w:sz w:val="26"/>
                <w:szCs w:val="26"/>
              </w:rPr>
              <w:t xml:space="preserve"> (turpmāk -LP) </w:t>
            </w:r>
            <w:r w:rsidR="005A6187" w:rsidRPr="00A63208">
              <w:rPr>
                <w:rFonts w:ascii="Times New Roman" w:hAnsi="Times New Roman" w:cs="Times New Roman"/>
                <w:sz w:val="26"/>
                <w:szCs w:val="26"/>
              </w:rPr>
              <w:t>vispārējo stratēģisko mērķi</w:t>
            </w:r>
            <w:r w:rsidR="005A6187" w:rsidRPr="00A63208">
              <w:rPr>
                <w:rFonts w:ascii="Times New Roman" w:eastAsia="Times New Roman" w:hAnsi="Times New Roman" w:cs="Times New Roman"/>
                <w:sz w:val="26"/>
                <w:szCs w:val="26"/>
                <w:lang w:eastAsia="lv-LV"/>
              </w:rPr>
              <w:t>.</w:t>
            </w:r>
          </w:p>
          <w:p w14:paraId="0C19064B" w14:textId="77777777" w:rsidR="005A6187" w:rsidRPr="00A63208" w:rsidRDefault="005A6187" w:rsidP="00993F87">
            <w:pPr>
              <w:snapToGrid w:val="0"/>
              <w:ind w:firstLine="335"/>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Projekts stāsies spēkā tā parakstīšanas brīdī.</w:t>
            </w:r>
          </w:p>
        </w:tc>
      </w:tr>
    </w:tbl>
    <w:p w14:paraId="7402C4A5" w14:textId="77777777" w:rsidR="005A6187" w:rsidRPr="00A63208" w:rsidRDefault="005A6187" w:rsidP="005A6187">
      <w:pPr>
        <w:shd w:val="clear" w:color="auto" w:fill="FFFFFF"/>
        <w:snapToGrid w:val="0"/>
        <w:spacing w:after="0" w:line="240" w:lineRule="auto"/>
        <w:jc w:val="center"/>
        <w:rPr>
          <w:rFonts w:ascii="Times New Roman" w:eastAsia="Times New Roman" w:hAnsi="Times New Roman" w:cs="Times New Roman"/>
          <w:bCs/>
          <w:sz w:val="26"/>
          <w:szCs w:val="26"/>
          <w:lang w:eastAsia="lv-LV"/>
        </w:rPr>
      </w:pPr>
    </w:p>
    <w:tbl>
      <w:tblPr>
        <w:tblW w:w="4927"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285"/>
        <w:gridCol w:w="2117"/>
        <w:gridCol w:w="6802"/>
      </w:tblGrid>
      <w:tr w:rsidR="005A6187" w:rsidRPr="00A63208" w14:paraId="6CF28264" w14:textId="77777777" w:rsidTr="00993F87">
        <w:trPr>
          <w:trHeight w:val="324"/>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93EE561"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I. Tiesību akta projekta izstrādes nepieciešamība</w:t>
            </w:r>
          </w:p>
        </w:tc>
      </w:tr>
      <w:tr w:rsidR="005A6187" w:rsidRPr="000C6108" w14:paraId="6098AE14" w14:textId="77777777" w:rsidTr="00993F87">
        <w:trPr>
          <w:trHeight w:val="324"/>
        </w:trPr>
        <w:tc>
          <w:tcPr>
            <w:tcW w:w="155" w:type="pct"/>
            <w:tcBorders>
              <w:top w:val="outset" w:sz="6" w:space="0" w:color="414142"/>
              <w:left w:val="outset" w:sz="6" w:space="0" w:color="414142"/>
              <w:bottom w:val="outset" w:sz="6" w:space="0" w:color="414142"/>
              <w:right w:val="outset" w:sz="6" w:space="0" w:color="414142"/>
            </w:tcBorders>
            <w:hideMark/>
          </w:tcPr>
          <w:p w14:paraId="2E813376"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1.</w:t>
            </w:r>
          </w:p>
        </w:tc>
        <w:tc>
          <w:tcPr>
            <w:tcW w:w="1150" w:type="pct"/>
            <w:tcBorders>
              <w:top w:val="outset" w:sz="6" w:space="0" w:color="414142"/>
              <w:left w:val="outset" w:sz="6" w:space="0" w:color="414142"/>
              <w:bottom w:val="outset" w:sz="6" w:space="0" w:color="414142"/>
              <w:right w:val="outset" w:sz="6" w:space="0" w:color="414142"/>
            </w:tcBorders>
            <w:hideMark/>
          </w:tcPr>
          <w:p w14:paraId="2D9FF688"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Pamatojums</w:t>
            </w:r>
          </w:p>
        </w:tc>
        <w:tc>
          <w:tcPr>
            <w:tcW w:w="3695" w:type="pct"/>
            <w:tcBorders>
              <w:top w:val="outset" w:sz="6" w:space="0" w:color="414142"/>
              <w:left w:val="outset" w:sz="6" w:space="0" w:color="414142"/>
              <w:bottom w:val="outset" w:sz="6" w:space="0" w:color="414142"/>
              <w:right w:val="outset" w:sz="6" w:space="0" w:color="414142"/>
            </w:tcBorders>
            <w:hideMark/>
          </w:tcPr>
          <w:p w14:paraId="6CC18FE0" w14:textId="6937777A" w:rsidR="005A6187" w:rsidRPr="000C6108" w:rsidRDefault="005A6187" w:rsidP="00993F87">
            <w:pPr>
              <w:snapToGrid w:val="0"/>
              <w:spacing w:after="0" w:line="240" w:lineRule="auto"/>
              <w:ind w:firstLine="335"/>
              <w:jc w:val="both"/>
              <w:rPr>
                <w:rFonts w:ascii="Times New Roman" w:hAnsi="Times New Roman" w:cs="Times New Roman"/>
                <w:sz w:val="26"/>
                <w:szCs w:val="26"/>
              </w:rPr>
            </w:pPr>
            <w:r w:rsidRPr="000C6108">
              <w:rPr>
                <w:rFonts w:ascii="Times New Roman" w:eastAsia="Times New Roman" w:hAnsi="Times New Roman" w:cs="Times New Roman"/>
                <w:sz w:val="26"/>
                <w:szCs w:val="26"/>
                <w:lang w:eastAsia="lv-LV"/>
              </w:rPr>
              <w:t>Likuma</w:t>
            </w:r>
            <w:r w:rsidRPr="000C6108">
              <w:rPr>
                <w:rFonts w:ascii="Times New Roman" w:hAnsi="Times New Roman" w:cs="Times New Roman"/>
                <w:bCs/>
                <w:sz w:val="26"/>
                <w:szCs w:val="26"/>
              </w:rPr>
              <w:t xml:space="preserve"> 57.pants nosaka, ka vidēja termiņa darbības stratēģiju izstrādā</w:t>
            </w:r>
            <w:r w:rsidRPr="000C6108">
              <w:rPr>
                <w:rFonts w:ascii="Times New Roman" w:hAnsi="Times New Roman" w:cs="Times New Roman"/>
                <w:sz w:val="26"/>
                <w:szCs w:val="26"/>
              </w:rPr>
              <w:t xml:space="preserve">, ņemot vērā publiskas personas augstākās lēmējinstitūcijas noteiktos kapitālsabiedrības vispārējos stratēģiskos mērķus, savukārt Likuma </w:t>
            </w:r>
            <w:r w:rsidRPr="000C6108">
              <w:rPr>
                <w:rFonts w:ascii="Times New Roman" w:hAnsi="Times New Roman" w:cs="Times New Roman"/>
                <w:bCs/>
                <w:sz w:val="26"/>
                <w:szCs w:val="26"/>
              </w:rPr>
              <w:t>1.pant</w:t>
            </w:r>
            <w:r>
              <w:rPr>
                <w:rFonts w:ascii="Times New Roman" w:hAnsi="Times New Roman" w:cs="Times New Roman"/>
                <w:bCs/>
                <w:sz w:val="26"/>
                <w:szCs w:val="26"/>
              </w:rPr>
              <w:t>a pirmās daļas 14.punkts</w:t>
            </w:r>
            <w:r w:rsidRPr="000C6108">
              <w:rPr>
                <w:rFonts w:ascii="Times New Roman" w:hAnsi="Times New Roman" w:cs="Times New Roman"/>
                <w:bCs/>
                <w:sz w:val="26"/>
                <w:szCs w:val="26"/>
              </w:rPr>
              <w:t xml:space="preserve"> nosaka, ka publiskas personas augstākā lēmējinstitūcija</w:t>
            </w:r>
            <w:r w:rsidRPr="000C6108">
              <w:rPr>
                <w:rFonts w:ascii="Times New Roman" w:hAnsi="Times New Roman" w:cs="Times New Roman"/>
                <w:sz w:val="26"/>
                <w:szCs w:val="26"/>
              </w:rPr>
              <w:t xml:space="preserve"> attiecībā uz valsts kapitāla daļu un kapitālsabiedrību pārvaldību ir Ministru kabinets</w:t>
            </w:r>
            <w:r w:rsidR="00357FCF">
              <w:rPr>
                <w:rFonts w:ascii="Times New Roman" w:hAnsi="Times New Roman" w:cs="Times New Roman"/>
                <w:sz w:val="26"/>
                <w:szCs w:val="26"/>
              </w:rPr>
              <w:t xml:space="preserve">. </w:t>
            </w:r>
            <w:r w:rsidRPr="000C6108">
              <w:rPr>
                <w:rFonts w:ascii="Times New Roman" w:hAnsi="Times New Roman" w:cs="Times New Roman"/>
                <w:sz w:val="26"/>
                <w:szCs w:val="26"/>
              </w:rPr>
              <w:t xml:space="preserve"> </w:t>
            </w:r>
            <w:r w:rsidR="00357FCF">
              <w:rPr>
                <w:rFonts w:ascii="Times New Roman" w:hAnsi="Times New Roman" w:cs="Times New Roman"/>
                <w:sz w:val="26"/>
                <w:szCs w:val="26"/>
              </w:rPr>
              <w:t xml:space="preserve">Saskaņā ar </w:t>
            </w:r>
            <w:r w:rsidR="00357FCF">
              <w:rPr>
                <w:rFonts w:ascii="Times New Roman" w:hAnsi="Times New Roman" w:cs="Times New Roman"/>
                <w:sz w:val="26"/>
                <w:szCs w:val="26"/>
              </w:rPr>
              <w:t>L</w:t>
            </w:r>
            <w:r w:rsidR="00357FCF">
              <w:rPr>
                <w:rFonts w:ascii="Times New Roman" w:hAnsi="Times New Roman" w:cs="Times New Roman"/>
                <w:sz w:val="26"/>
                <w:szCs w:val="26"/>
              </w:rPr>
              <w:t xml:space="preserve">ikuma 1.panta pirmās daļas 18.punktā sniegto definīciju </w:t>
            </w:r>
            <w:r w:rsidR="00357FCF">
              <w:rPr>
                <w:rFonts w:ascii="Times New Roman" w:hAnsi="Times New Roman" w:cs="Times New Roman"/>
                <w:bCs/>
                <w:sz w:val="26"/>
                <w:szCs w:val="26"/>
              </w:rPr>
              <w:t>vispārējie stratēģiskie mērķi</w:t>
            </w:r>
            <w:r w:rsidR="00357FCF">
              <w:rPr>
                <w:rFonts w:ascii="Times New Roman" w:hAnsi="Times New Roman" w:cs="Times New Roman"/>
                <w:sz w:val="26"/>
                <w:szCs w:val="26"/>
              </w:rPr>
              <w:t xml:space="preserve"> ir publiskas personas augstākās lēmējinstitūcijas noteikti kapitālsabiedrības mērķi, kurus publiska persona vēlas sasniegt ar līdzdalību kapitālsabiedrībā</w:t>
            </w:r>
            <w:r w:rsidR="00357FCF">
              <w:rPr>
                <w:rFonts w:ascii="Times New Roman" w:hAnsi="Times New Roman" w:cs="Times New Roman"/>
                <w:color w:val="FF0000"/>
                <w:sz w:val="26"/>
                <w:szCs w:val="26"/>
              </w:rPr>
              <w:t xml:space="preserve"> </w:t>
            </w:r>
            <w:r w:rsidR="00357FCF">
              <w:rPr>
                <w:rFonts w:ascii="Times New Roman" w:hAnsi="Times New Roman" w:cs="Times New Roman"/>
                <w:sz w:val="26"/>
                <w:szCs w:val="26"/>
              </w:rPr>
              <w:t>un kuri izriet no tiesību aktiem un politikas plānošanas dokumentiem.</w:t>
            </w:r>
            <w:r w:rsidRPr="000C6108">
              <w:rPr>
                <w:rFonts w:ascii="Times New Roman" w:hAnsi="Times New Roman" w:cs="Times New Roman"/>
                <w:sz w:val="26"/>
                <w:szCs w:val="26"/>
              </w:rPr>
              <w:t>.</w:t>
            </w:r>
          </w:p>
          <w:p w14:paraId="58B987B9" w14:textId="2B6A4957" w:rsidR="005A6187" w:rsidRPr="000C6108" w:rsidRDefault="005A6187" w:rsidP="00993F87">
            <w:pPr>
              <w:snapToGrid w:val="0"/>
              <w:spacing w:after="0" w:line="240" w:lineRule="auto"/>
              <w:ind w:firstLine="335"/>
              <w:jc w:val="both"/>
              <w:rPr>
                <w:rFonts w:ascii="Times New Roman" w:eastAsia="Times New Roman" w:hAnsi="Times New Roman" w:cs="Times New Roman"/>
                <w:sz w:val="26"/>
                <w:szCs w:val="26"/>
                <w:lang w:eastAsia="lv-LV"/>
              </w:rPr>
            </w:pPr>
            <w:r w:rsidRPr="000C6108">
              <w:rPr>
                <w:rFonts w:ascii="Times New Roman" w:hAnsi="Times New Roman" w:cs="Times New Roman"/>
                <w:sz w:val="26"/>
                <w:szCs w:val="26"/>
              </w:rPr>
              <w:t>Vispārēj</w:t>
            </w:r>
            <w:r w:rsidR="009B3189">
              <w:rPr>
                <w:rFonts w:ascii="Times New Roman" w:hAnsi="Times New Roman" w:cs="Times New Roman"/>
                <w:sz w:val="26"/>
                <w:szCs w:val="26"/>
              </w:rPr>
              <w:t xml:space="preserve">o </w:t>
            </w:r>
            <w:r w:rsidRPr="000C6108">
              <w:rPr>
                <w:rFonts w:ascii="Times New Roman" w:hAnsi="Times New Roman" w:cs="Times New Roman"/>
                <w:sz w:val="26"/>
                <w:szCs w:val="26"/>
              </w:rPr>
              <w:t>stratēģisk</w:t>
            </w:r>
            <w:r w:rsidR="009B3189">
              <w:rPr>
                <w:rFonts w:ascii="Times New Roman" w:hAnsi="Times New Roman" w:cs="Times New Roman"/>
                <w:sz w:val="26"/>
                <w:szCs w:val="26"/>
              </w:rPr>
              <w:t>o</w:t>
            </w:r>
            <w:r w:rsidRPr="000C6108">
              <w:rPr>
                <w:rFonts w:ascii="Times New Roman" w:hAnsi="Times New Roman" w:cs="Times New Roman"/>
                <w:sz w:val="26"/>
                <w:szCs w:val="26"/>
              </w:rPr>
              <w:t xml:space="preserve"> mērķi</w:t>
            </w:r>
            <w:r w:rsidR="009B3189">
              <w:rPr>
                <w:rFonts w:ascii="Times New Roman" w:hAnsi="Times New Roman" w:cs="Times New Roman"/>
                <w:sz w:val="26"/>
                <w:szCs w:val="26"/>
              </w:rPr>
              <w:t xml:space="preserve">  nepieciešams noteikt</w:t>
            </w:r>
            <w:r w:rsidRPr="000C6108">
              <w:rPr>
                <w:rFonts w:ascii="Times New Roman" w:hAnsi="Times New Roman" w:cs="Times New Roman"/>
                <w:sz w:val="26"/>
                <w:szCs w:val="26"/>
              </w:rPr>
              <w:t xml:space="preserve">, lai </w:t>
            </w:r>
            <w:r w:rsidR="00B07C1A">
              <w:rPr>
                <w:rFonts w:ascii="Times New Roman" w:hAnsi="Times New Roman" w:cs="Times New Roman"/>
                <w:sz w:val="26"/>
                <w:szCs w:val="26"/>
              </w:rPr>
              <w:t>LP</w:t>
            </w:r>
            <w:r w:rsidRPr="000C6108">
              <w:rPr>
                <w:rFonts w:ascii="Times New Roman" w:hAnsi="Times New Roman" w:cs="Times New Roman"/>
                <w:sz w:val="26"/>
                <w:szCs w:val="26"/>
              </w:rPr>
              <w:t xml:space="preserve"> varētu </w:t>
            </w:r>
            <w:r w:rsidR="00525D84">
              <w:rPr>
                <w:rFonts w:ascii="Times New Roman" w:hAnsi="Times New Roman" w:cs="Times New Roman"/>
                <w:sz w:val="26"/>
                <w:szCs w:val="26"/>
              </w:rPr>
              <w:t>pabeigt darbu pie vidēja termiņas darbības stratēģijas 2020.-2023.gadam izstrād</w:t>
            </w:r>
            <w:r w:rsidR="00E04EFC">
              <w:rPr>
                <w:rFonts w:ascii="Times New Roman" w:hAnsi="Times New Roman" w:cs="Times New Roman"/>
                <w:sz w:val="26"/>
                <w:szCs w:val="26"/>
              </w:rPr>
              <w:t>es</w:t>
            </w:r>
            <w:r w:rsidR="00525D84">
              <w:rPr>
                <w:rFonts w:ascii="Times New Roman" w:hAnsi="Times New Roman" w:cs="Times New Roman"/>
                <w:sz w:val="26"/>
                <w:szCs w:val="26"/>
              </w:rPr>
              <w:t>. A</w:t>
            </w:r>
            <w:r w:rsidRPr="000C6108">
              <w:rPr>
                <w:rFonts w:ascii="Times New Roman" w:eastAsia="Times New Roman" w:hAnsi="Times New Roman" w:cs="Times New Roman"/>
                <w:sz w:val="26"/>
                <w:szCs w:val="26"/>
                <w:lang w:eastAsia="lv-LV"/>
              </w:rPr>
              <w:t xml:space="preserve">tbilstoši </w:t>
            </w:r>
            <w:r w:rsidRPr="000C6108">
              <w:rPr>
                <w:rFonts w:ascii="Times New Roman" w:hAnsi="Times New Roman" w:cs="Times New Roman"/>
                <w:sz w:val="26"/>
                <w:szCs w:val="26"/>
              </w:rPr>
              <w:t xml:space="preserve">Likuma </w:t>
            </w:r>
            <w:r>
              <w:rPr>
                <w:rFonts w:ascii="Times New Roman" w:hAnsi="Times New Roman" w:cs="Times New Roman"/>
                <w:sz w:val="26"/>
                <w:szCs w:val="26"/>
              </w:rPr>
              <w:t>4</w:t>
            </w:r>
            <w:r w:rsidRPr="000C6108">
              <w:rPr>
                <w:rFonts w:ascii="Times New Roman" w:hAnsi="Times New Roman" w:cs="Times New Roman"/>
                <w:sz w:val="26"/>
                <w:szCs w:val="26"/>
              </w:rPr>
              <w:t>.panta pirm</w:t>
            </w:r>
            <w:r>
              <w:rPr>
                <w:rFonts w:ascii="Times New Roman" w:hAnsi="Times New Roman" w:cs="Times New Roman"/>
                <w:sz w:val="26"/>
                <w:szCs w:val="26"/>
              </w:rPr>
              <w:t>ajai d</w:t>
            </w:r>
            <w:r w:rsidRPr="000C6108">
              <w:rPr>
                <w:rFonts w:ascii="Times New Roman" w:hAnsi="Times New Roman" w:cs="Times New Roman"/>
                <w:sz w:val="26"/>
                <w:szCs w:val="26"/>
              </w:rPr>
              <w:t>aļa</w:t>
            </w:r>
            <w:r>
              <w:rPr>
                <w:rFonts w:ascii="Times New Roman" w:hAnsi="Times New Roman" w:cs="Times New Roman"/>
                <w:sz w:val="26"/>
                <w:szCs w:val="26"/>
              </w:rPr>
              <w:t>i</w:t>
            </w:r>
            <w:r w:rsidRPr="000C6108">
              <w:rPr>
                <w:rFonts w:ascii="Times New Roman" w:hAnsi="Times New Roman" w:cs="Times New Roman"/>
                <w:sz w:val="26"/>
                <w:szCs w:val="26"/>
              </w:rPr>
              <w:t xml:space="preserve"> un 7.pantam ir jānosaka </w:t>
            </w:r>
            <w:r w:rsidR="00B07C1A">
              <w:rPr>
                <w:rFonts w:ascii="Times New Roman" w:hAnsi="Times New Roman" w:cs="Times New Roman"/>
                <w:sz w:val="26"/>
                <w:szCs w:val="26"/>
              </w:rPr>
              <w:t>LP</w:t>
            </w:r>
            <w:r w:rsidRPr="000C6108">
              <w:rPr>
                <w:rFonts w:ascii="Times New Roman" w:hAnsi="Times New Roman" w:cs="Times New Roman"/>
                <w:sz w:val="26"/>
                <w:szCs w:val="26"/>
              </w:rPr>
              <w:t xml:space="preserve"> vispārējais stratēģiskais mērķis</w:t>
            </w:r>
            <w:r w:rsidRPr="000C6108">
              <w:rPr>
                <w:rFonts w:ascii="Times New Roman" w:eastAsia="Times New Roman" w:hAnsi="Times New Roman" w:cs="Times New Roman"/>
                <w:sz w:val="26"/>
                <w:szCs w:val="26"/>
                <w:lang w:eastAsia="lv-LV"/>
              </w:rPr>
              <w:t>.</w:t>
            </w:r>
          </w:p>
        </w:tc>
      </w:tr>
      <w:tr w:rsidR="005A6187" w:rsidRPr="000C6108" w14:paraId="0F56E7C4" w14:textId="77777777" w:rsidTr="00993F87">
        <w:trPr>
          <w:trHeight w:val="372"/>
        </w:trPr>
        <w:tc>
          <w:tcPr>
            <w:tcW w:w="155" w:type="pct"/>
            <w:tcBorders>
              <w:top w:val="outset" w:sz="6" w:space="0" w:color="414142"/>
              <w:left w:val="outset" w:sz="6" w:space="0" w:color="414142"/>
              <w:bottom w:val="outset" w:sz="6" w:space="0" w:color="414142"/>
              <w:right w:val="outset" w:sz="6" w:space="0" w:color="414142"/>
            </w:tcBorders>
            <w:hideMark/>
          </w:tcPr>
          <w:p w14:paraId="5C5B285B"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2.</w:t>
            </w:r>
          </w:p>
        </w:tc>
        <w:tc>
          <w:tcPr>
            <w:tcW w:w="1150" w:type="pct"/>
            <w:tcBorders>
              <w:top w:val="outset" w:sz="6" w:space="0" w:color="414142"/>
              <w:left w:val="outset" w:sz="6" w:space="0" w:color="414142"/>
              <w:bottom w:val="outset" w:sz="6" w:space="0" w:color="414142"/>
              <w:right w:val="outset" w:sz="6" w:space="0" w:color="414142"/>
            </w:tcBorders>
            <w:hideMark/>
          </w:tcPr>
          <w:p w14:paraId="302804E6" w14:textId="77777777" w:rsidR="005A6187"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Pašreizējā situācija un problēmas, kuru risināšanai tiesību akta projekts izstrādāts, tiesiskā regulējuma mērķis un būtība</w:t>
            </w:r>
          </w:p>
          <w:p w14:paraId="0A50BD3B" w14:textId="77777777" w:rsidR="005A6187" w:rsidRPr="00824D2F" w:rsidRDefault="005A6187" w:rsidP="00993F87">
            <w:pPr>
              <w:rPr>
                <w:rFonts w:ascii="Times New Roman" w:eastAsia="Times New Roman" w:hAnsi="Times New Roman" w:cs="Times New Roman"/>
                <w:sz w:val="26"/>
                <w:szCs w:val="26"/>
                <w:lang w:eastAsia="lv-LV"/>
              </w:rPr>
            </w:pPr>
          </w:p>
          <w:p w14:paraId="56783375" w14:textId="77777777" w:rsidR="005A6187" w:rsidRPr="00824D2F" w:rsidRDefault="005A6187" w:rsidP="00993F87">
            <w:pPr>
              <w:rPr>
                <w:rFonts w:ascii="Times New Roman" w:eastAsia="Times New Roman" w:hAnsi="Times New Roman" w:cs="Times New Roman"/>
                <w:sz w:val="26"/>
                <w:szCs w:val="26"/>
                <w:lang w:eastAsia="lv-LV"/>
              </w:rPr>
            </w:pPr>
          </w:p>
          <w:p w14:paraId="5C5B0417" w14:textId="77777777" w:rsidR="005A6187" w:rsidRPr="00824D2F" w:rsidRDefault="005A6187" w:rsidP="00993F87">
            <w:pPr>
              <w:rPr>
                <w:rFonts w:ascii="Times New Roman" w:eastAsia="Times New Roman" w:hAnsi="Times New Roman" w:cs="Times New Roman"/>
                <w:sz w:val="26"/>
                <w:szCs w:val="26"/>
                <w:lang w:eastAsia="lv-LV"/>
              </w:rPr>
            </w:pPr>
          </w:p>
          <w:p w14:paraId="2AB8D879" w14:textId="77777777" w:rsidR="005A6187" w:rsidRPr="00824D2F" w:rsidRDefault="005A6187" w:rsidP="00993F87">
            <w:pPr>
              <w:rPr>
                <w:rFonts w:ascii="Times New Roman" w:eastAsia="Times New Roman" w:hAnsi="Times New Roman" w:cs="Times New Roman"/>
                <w:sz w:val="26"/>
                <w:szCs w:val="26"/>
                <w:lang w:eastAsia="lv-LV"/>
              </w:rPr>
            </w:pPr>
          </w:p>
          <w:p w14:paraId="105565F0" w14:textId="77777777" w:rsidR="005A6187" w:rsidRPr="00824D2F" w:rsidRDefault="005A6187" w:rsidP="00993F87">
            <w:pPr>
              <w:rPr>
                <w:rFonts w:ascii="Times New Roman" w:eastAsia="Times New Roman" w:hAnsi="Times New Roman" w:cs="Times New Roman"/>
                <w:sz w:val="26"/>
                <w:szCs w:val="26"/>
                <w:lang w:eastAsia="lv-LV"/>
              </w:rPr>
            </w:pPr>
          </w:p>
          <w:p w14:paraId="373462B5" w14:textId="77777777" w:rsidR="005A6187" w:rsidRDefault="005A6187" w:rsidP="00993F87">
            <w:pPr>
              <w:rPr>
                <w:rFonts w:ascii="Times New Roman" w:eastAsia="Times New Roman" w:hAnsi="Times New Roman" w:cs="Times New Roman"/>
                <w:sz w:val="26"/>
                <w:szCs w:val="26"/>
                <w:lang w:eastAsia="lv-LV"/>
              </w:rPr>
            </w:pPr>
          </w:p>
          <w:p w14:paraId="6FBB8E45" w14:textId="77777777" w:rsidR="005A6187" w:rsidRDefault="005A6187" w:rsidP="00850C7C">
            <w:pPr>
              <w:ind w:firstLine="720"/>
              <w:rPr>
                <w:rFonts w:ascii="Times New Roman" w:eastAsia="Times New Roman" w:hAnsi="Times New Roman" w:cs="Times New Roman"/>
                <w:sz w:val="26"/>
                <w:szCs w:val="26"/>
                <w:lang w:eastAsia="lv-LV"/>
              </w:rPr>
            </w:pPr>
          </w:p>
          <w:p w14:paraId="094DE914" w14:textId="77777777" w:rsidR="005A6187" w:rsidRPr="00FF5A38" w:rsidRDefault="005A6187" w:rsidP="00993F87">
            <w:pPr>
              <w:rPr>
                <w:rFonts w:ascii="Times New Roman" w:eastAsia="Times New Roman" w:hAnsi="Times New Roman" w:cs="Times New Roman"/>
                <w:sz w:val="26"/>
                <w:szCs w:val="26"/>
                <w:lang w:eastAsia="lv-LV"/>
              </w:rPr>
            </w:pPr>
          </w:p>
          <w:p w14:paraId="0CF3490F" w14:textId="77777777" w:rsidR="005A6187" w:rsidRPr="00FF5A38" w:rsidRDefault="005A6187" w:rsidP="00993F87">
            <w:pPr>
              <w:rPr>
                <w:rFonts w:ascii="Times New Roman" w:eastAsia="Times New Roman" w:hAnsi="Times New Roman" w:cs="Times New Roman"/>
                <w:sz w:val="26"/>
                <w:szCs w:val="26"/>
                <w:lang w:eastAsia="lv-LV"/>
              </w:rPr>
            </w:pPr>
          </w:p>
          <w:p w14:paraId="6C467F0A" w14:textId="77777777" w:rsidR="005A6187" w:rsidRPr="00FF5A38" w:rsidRDefault="005A6187" w:rsidP="00993F87">
            <w:pPr>
              <w:rPr>
                <w:rFonts w:ascii="Times New Roman" w:eastAsia="Times New Roman" w:hAnsi="Times New Roman" w:cs="Times New Roman"/>
                <w:sz w:val="26"/>
                <w:szCs w:val="26"/>
                <w:lang w:eastAsia="lv-LV"/>
              </w:rPr>
            </w:pPr>
          </w:p>
          <w:p w14:paraId="6784A47B" w14:textId="77777777" w:rsidR="005A6187" w:rsidRPr="00FF5A38" w:rsidRDefault="005A6187" w:rsidP="00993F87">
            <w:pPr>
              <w:rPr>
                <w:rFonts w:ascii="Times New Roman" w:eastAsia="Times New Roman" w:hAnsi="Times New Roman" w:cs="Times New Roman"/>
                <w:sz w:val="26"/>
                <w:szCs w:val="26"/>
                <w:lang w:eastAsia="lv-LV"/>
              </w:rPr>
            </w:pPr>
          </w:p>
          <w:p w14:paraId="66A6FAA4" w14:textId="77777777" w:rsidR="005A6187" w:rsidRPr="00FF5A38" w:rsidRDefault="005A6187" w:rsidP="00993F87">
            <w:pPr>
              <w:rPr>
                <w:rFonts w:ascii="Times New Roman" w:eastAsia="Times New Roman" w:hAnsi="Times New Roman" w:cs="Times New Roman"/>
                <w:sz w:val="26"/>
                <w:szCs w:val="26"/>
                <w:lang w:eastAsia="lv-LV"/>
              </w:rPr>
            </w:pPr>
          </w:p>
          <w:p w14:paraId="2EEA5E5D" w14:textId="77777777" w:rsidR="005A6187" w:rsidRPr="00FF5A38" w:rsidRDefault="005A6187" w:rsidP="00993F87">
            <w:pPr>
              <w:rPr>
                <w:rFonts w:ascii="Times New Roman" w:eastAsia="Times New Roman" w:hAnsi="Times New Roman" w:cs="Times New Roman"/>
                <w:sz w:val="26"/>
                <w:szCs w:val="26"/>
                <w:lang w:eastAsia="lv-LV"/>
              </w:rPr>
            </w:pPr>
          </w:p>
          <w:p w14:paraId="7032E821" w14:textId="77777777" w:rsidR="005A6187" w:rsidRPr="00FF5A38" w:rsidRDefault="005A6187" w:rsidP="00993F87">
            <w:pPr>
              <w:rPr>
                <w:rFonts w:ascii="Times New Roman" w:eastAsia="Times New Roman" w:hAnsi="Times New Roman" w:cs="Times New Roman"/>
                <w:sz w:val="26"/>
                <w:szCs w:val="26"/>
                <w:lang w:eastAsia="lv-LV"/>
              </w:rPr>
            </w:pPr>
          </w:p>
          <w:p w14:paraId="6C002BBA" w14:textId="77777777" w:rsidR="005A6187" w:rsidRPr="00FF5A38" w:rsidRDefault="005A6187" w:rsidP="00993F87">
            <w:pPr>
              <w:rPr>
                <w:rFonts w:ascii="Times New Roman" w:eastAsia="Times New Roman" w:hAnsi="Times New Roman" w:cs="Times New Roman"/>
                <w:sz w:val="26"/>
                <w:szCs w:val="26"/>
                <w:lang w:eastAsia="lv-LV"/>
              </w:rPr>
            </w:pPr>
          </w:p>
          <w:p w14:paraId="5D9A7495" w14:textId="77777777" w:rsidR="005A6187" w:rsidRPr="00FF5A38" w:rsidRDefault="005A6187" w:rsidP="00993F87">
            <w:pPr>
              <w:rPr>
                <w:rFonts w:ascii="Times New Roman" w:eastAsia="Times New Roman" w:hAnsi="Times New Roman" w:cs="Times New Roman"/>
                <w:sz w:val="26"/>
                <w:szCs w:val="26"/>
                <w:lang w:eastAsia="lv-LV"/>
              </w:rPr>
            </w:pPr>
          </w:p>
          <w:p w14:paraId="09775545" w14:textId="77777777" w:rsidR="005A6187" w:rsidRPr="00FF5A38" w:rsidRDefault="005A6187" w:rsidP="00993F87">
            <w:pPr>
              <w:rPr>
                <w:rFonts w:ascii="Times New Roman" w:eastAsia="Times New Roman" w:hAnsi="Times New Roman" w:cs="Times New Roman"/>
                <w:sz w:val="26"/>
                <w:szCs w:val="26"/>
                <w:lang w:eastAsia="lv-LV"/>
              </w:rPr>
            </w:pPr>
          </w:p>
          <w:p w14:paraId="420EE313" w14:textId="77777777" w:rsidR="005A6187" w:rsidRPr="00FF5A38" w:rsidRDefault="005A6187" w:rsidP="00993F87">
            <w:pPr>
              <w:rPr>
                <w:rFonts w:ascii="Times New Roman" w:eastAsia="Times New Roman" w:hAnsi="Times New Roman" w:cs="Times New Roman"/>
                <w:sz w:val="26"/>
                <w:szCs w:val="26"/>
                <w:lang w:eastAsia="lv-LV"/>
              </w:rPr>
            </w:pPr>
          </w:p>
          <w:p w14:paraId="502A33C8" w14:textId="77777777" w:rsidR="005A6187" w:rsidRPr="00FF5A38" w:rsidRDefault="005A6187" w:rsidP="00993F87">
            <w:pPr>
              <w:rPr>
                <w:rFonts w:ascii="Times New Roman" w:eastAsia="Times New Roman" w:hAnsi="Times New Roman" w:cs="Times New Roman"/>
                <w:sz w:val="26"/>
                <w:szCs w:val="26"/>
                <w:lang w:eastAsia="lv-LV"/>
              </w:rPr>
            </w:pPr>
          </w:p>
          <w:p w14:paraId="7E115E5D" w14:textId="77777777" w:rsidR="005A6187" w:rsidRPr="00FF5A38" w:rsidRDefault="005A6187" w:rsidP="00993F87">
            <w:pPr>
              <w:rPr>
                <w:rFonts w:ascii="Times New Roman" w:eastAsia="Times New Roman" w:hAnsi="Times New Roman" w:cs="Times New Roman"/>
                <w:sz w:val="26"/>
                <w:szCs w:val="26"/>
                <w:lang w:eastAsia="lv-LV"/>
              </w:rPr>
            </w:pPr>
          </w:p>
          <w:p w14:paraId="7B5E0666" w14:textId="77777777" w:rsidR="005A6187" w:rsidRPr="00FF5A38" w:rsidRDefault="005A6187" w:rsidP="00993F87">
            <w:pPr>
              <w:rPr>
                <w:rFonts w:ascii="Times New Roman" w:eastAsia="Times New Roman" w:hAnsi="Times New Roman" w:cs="Times New Roman"/>
                <w:sz w:val="26"/>
                <w:szCs w:val="26"/>
                <w:lang w:eastAsia="lv-LV"/>
              </w:rPr>
            </w:pPr>
          </w:p>
          <w:p w14:paraId="6128778E" w14:textId="77777777" w:rsidR="005A6187" w:rsidRPr="00FF5A38" w:rsidRDefault="005A6187" w:rsidP="00993F87">
            <w:pPr>
              <w:rPr>
                <w:rFonts w:ascii="Times New Roman" w:eastAsia="Times New Roman" w:hAnsi="Times New Roman" w:cs="Times New Roman"/>
                <w:sz w:val="26"/>
                <w:szCs w:val="26"/>
                <w:lang w:eastAsia="lv-LV"/>
              </w:rPr>
            </w:pPr>
          </w:p>
          <w:p w14:paraId="687F7034" w14:textId="77777777" w:rsidR="005A6187" w:rsidRPr="00FF5A38" w:rsidRDefault="005A6187" w:rsidP="00993F87">
            <w:pPr>
              <w:rPr>
                <w:rFonts w:ascii="Times New Roman" w:eastAsia="Times New Roman" w:hAnsi="Times New Roman" w:cs="Times New Roman"/>
                <w:sz w:val="26"/>
                <w:szCs w:val="26"/>
                <w:lang w:eastAsia="lv-LV"/>
              </w:rPr>
            </w:pPr>
          </w:p>
          <w:p w14:paraId="7C007120" w14:textId="77777777" w:rsidR="005A6187" w:rsidRPr="00FF5A38" w:rsidRDefault="005A6187" w:rsidP="00993F87">
            <w:pPr>
              <w:rPr>
                <w:rFonts w:ascii="Times New Roman" w:eastAsia="Times New Roman" w:hAnsi="Times New Roman" w:cs="Times New Roman"/>
                <w:sz w:val="26"/>
                <w:szCs w:val="26"/>
                <w:lang w:eastAsia="lv-LV"/>
              </w:rPr>
            </w:pPr>
          </w:p>
          <w:p w14:paraId="3800CA97" w14:textId="77777777" w:rsidR="005A6187" w:rsidRPr="00FF5A38" w:rsidRDefault="005A6187" w:rsidP="00993F87">
            <w:pPr>
              <w:rPr>
                <w:rFonts w:ascii="Times New Roman" w:eastAsia="Times New Roman" w:hAnsi="Times New Roman" w:cs="Times New Roman"/>
                <w:sz w:val="26"/>
                <w:szCs w:val="26"/>
                <w:lang w:eastAsia="lv-LV"/>
              </w:rPr>
            </w:pPr>
          </w:p>
          <w:p w14:paraId="1168E756" w14:textId="77777777" w:rsidR="005A6187" w:rsidRPr="00FF5A38" w:rsidRDefault="005A6187" w:rsidP="00993F87">
            <w:pPr>
              <w:rPr>
                <w:rFonts w:ascii="Times New Roman" w:eastAsia="Times New Roman" w:hAnsi="Times New Roman" w:cs="Times New Roman"/>
                <w:sz w:val="26"/>
                <w:szCs w:val="26"/>
                <w:lang w:eastAsia="lv-LV"/>
              </w:rPr>
            </w:pPr>
          </w:p>
          <w:p w14:paraId="007F97FA" w14:textId="77777777" w:rsidR="005A6187" w:rsidRPr="00FF5A38" w:rsidRDefault="005A6187" w:rsidP="00993F87">
            <w:pPr>
              <w:rPr>
                <w:rFonts w:ascii="Times New Roman" w:eastAsia="Times New Roman" w:hAnsi="Times New Roman" w:cs="Times New Roman"/>
                <w:sz w:val="26"/>
                <w:szCs w:val="26"/>
                <w:lang w:eastAsia="lv-LV"/>
              </w:rPr>
            </w:pPr>
          </w:p>
          <w:p w14:paraId="39F5FB1B" w14:textId="77777777" w:rsidR="005A6187" w:rsidRPr="00FF5A38" w:rsidRDefault="005A6187" w:rsidP="00993F87">
            <w:pPr>
              <w:rPr>
                <w:rFonts w:ascii="Times New Roman" w:eastAsia="Times New Roman" w:hAnsi="Times New Roman" w:cs="Times New Roman"/>
                <w:sz w:val="26"/>
                <w:szCs w:val="26"/>
                <w:lang w:eastAsia="lv-LV"/>
              </w:rPr>
            </w:pPr>
          </w:p>
          <w:p w14:paraId="2CAF17DF" w14:textId="77777777" w:rsidR="005A6187" w:rsidRPr="00FF5A38" w:rsidRDefault="005A6187" w:rsidP="00993F87">
            <w:pPr>
              <w:rPr>
                <w:rFonts w:ascii="Times New Roman" w:eastAsia="Times New Roman" w:hAnsi="Times New Roman" w:cs="Times New Roman"/>
                <w:sz w:val="26"/>
                <w:szCs w:val="26"/>
                <w:lang w:eastAsia="lv-LV"/>
              </w:rPr>
            </w:pPr>
          </w:p>
          <w:p w14:paraId="54339BE1" w14:textId="77777777" w:rsidR="005A6187" w:rsidRPr="00FF5A38" w:rsidRDefault="005A6187" w:rsidP="00993F87">
            <w:pPr>
              <w:rPr>
                <w:rFonts w:ascii="Times New Roman" w:eastAsia="Times New Roman" w:hAnsi="Times New Roman" w:cs="Times New Roman"/>
                <w:sz w:val="26"/>
                <w:szCs w:val="26"/>
                <w:lang w:eastAsia="lv-LV"/>
              </w:rPr>
            </w:pPr>
          </w:p>
          <w:p w14:paraId="5AEFE6B8" w14:textId="77777777" w:rsidR="005A6187" w:rsidRPr="00FF5A38" w:rsidRDefault="005A6187" w:rsidP="00993F87">
            <w:pPr>
              <w:rPr>
                <w:rFonts w:ascii="Times New Roman" w:eastAsia="Times New Roman" w:hAnsi="Times New Roman" w:cs="Times New Roman"/>
                <w:sz w:val="26"/>
                <w:szCs w:val="26"/>
                <w:lang w:eastAsia="lv-LV"/>
              </w:rPr>
            </w:pPr>
          </w:p>
          <w:p w14:paraId="407314D5" w14:textId="77777777" w:rsidR="005A6187" w:rsidRPr="00FF5A38" w:rsidRDefault="005A6187" w:rsidP="00993F87">
            <w:pPr>
              <w:rPr>
                <w:rFonts w:ascii="Times New Roman" w:eastAsia="Times New Roman" w:hAnsi="Times New Roman" w:cs="Times New Roman"/>
                <w:sz w:val="26"/>
                <w:szCs w:val="26"/>
                <w:lang w:eastAsia="lv-LV"/>
              </w:rPr>
            </w:pPr>
          </w:p>
          <w:p w14:paraId="19F3101D" w14:textId="77777777" w:rsidR="005A6187" w:rsidRPr="00FF5A38" w:rsidRDefault="005A6187" w:rsidP="00993F87">
            <w:pPr>
              <w:rPr>
                <w:rFonts w:ascii="Times New Roman" w:eastAsia="Times New Roman" w:hAnsi="Times New Roman" w:cs="Times New Roman"/>
                <w:sz w:val="26"/>
                <w:szCs w:val="26"/>
                <w:lang w:eastAsia="lv-LV"/>
              </w:rPr>
            </w:pPr>
          </w:p>
          <w:p w14:paraId="1CBDEF1F" w14:textId="77777777" w:rsidR="005A6187" w:rsidRPr="00FF5A38" w:rsidRDefault="005A6187" w:rsidP="00993F87">
            <w:pPr>
              <w:rPr>
                <w:rFonts w:ascii="Times New Roman" w:eastAsia="Times New Roman" w:hAnsi="Times New Roman" w:cs="Times New Roman"/>
                <w:sz w:val="26"/>
                <w:szCs w:val="26"/>
                <w:lang w:eastAsia="lv-LV"/>
              </w:rPr>
            </w:pPr>
          </w:p>
          <w:p w14:paraId="3D8B2FC9" w14:textId="77777777" w:rsidR="005A6187" w:rsidRPr="00FF5A38" w:rsidRDefault="005A6187" w:rsidP="00993F87">
            <w:pPr>
              <w:ind w:firstLine="720"/>
              <w:rPr>
                <w:rFonts w:ascii="Times New Roman" w:eastAsia="Times New Roman" w:hAnsi="Times New Roman" w:cs="Times New Roman"/>
                <w:sz w:val="26"/>
                <w:szCs w:val="26"/>
                <w:lang w:eastAsia="lv-LV"/>
              </w:rPr>
            </w:pPr>
          </w:p>
        </w:tc>
        <w:tc>
          <w:tcPr>
            <w:tcW w:w="3695" w:type="pct"/>
            <w:tcBorders>
              <w:top w:val="outset" w:sz="6" w:space="0" w:color="414142"/>
              <w:left w:val="outset" w:sz="6" w:space="0" w:color="414142"/>
              <w:bottom w:val="outset" w:sz="6" w:space="0" w:color="414142"/>
              <w:right w:val="outset" w:sz="6" w:space="0" w:color="414142"/>
            </w:tcBorders>
          </w:tcPr>
          <w:p w14:paraId="1FB4FC5A" w14:textId="2E244398" w:rsidR="005A6187" w:rsidRPr="000C6108" w:rsidRDefault="00E03F91" w:rsidP="00993F87">
            <w:pPr>
              <w:pStyle w:val="ListParagraph"/>
              <w:tabs>
                <w:tab w:val="left" w:pos="142"/>
              </w:tabs>
              <w:adjustRightInd w:val="0"/>
              <w:snapToGrid w:val="0"/>
              <w:spacing w:after="0" w:line="240" w:lineRule="auto"/>
              <w:ind w:left="0" w:firstLine="335"/>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LP</w:t>
            </w:r>
            <w:r w:rsidR="005A6187" w:rsidRPr="000C6108">
              <w:rPr>
                <w:rFonts w:ascii="Times New Roman" w:hAnsi="Times New Roman" w:cs="Times New Roman"/>
                <w:sz w:val="26"/>
                <w:szCs w:val="26"/>
              </w:rPr>
              <w:t xml:space="preserve"> ir </w:t>
            </w:r>
            <w:r w:rsidR="005A6187" w:rsidRPr="000C6108">
              <w:rPr>
                <w:rFonts w:ascii="Times New Roman" w:hAnsi="Times New Roman" w:cs="Times New Roman"/>
                <w:bCs/>
                <w:sz w:val="26"/>
                <w:szCs w:val="26"/>
              </w:rPr>
              <w:t>valsts kapitālsabiedrība</w:t>
            </w:r>
            <w:r w:rsidR="005A6187" w:rsidRPr="000C6108">
              <w:rPr>
                <w:rFonts w:ascii="Times New Roman" w:hAnsi="Times New Roman" w:cs="Times New Roman"/>
                <w:sz w:val="26"/>
                <w:szCs w:val="26"/>
              </w:rPr>
              <w:t xml:space="preserve">, kuras 100% kapitāla daļas pieder valstij, Satiksmes ministrijas personā. </w:t>
            </w:r>
            <w:r w:rsidR="009B3189">
              <w:rPr>
                <w:rFonts w:ascii="Times New Roman" w:hAnsi="Times New Roman" w:cs="Times New Roman"/>
                <w:sz w:val="26"/>
                <w:szCs w:val="26"/>
              </w:rPr>
              <w:t>Latvijas Pasts</w:t>
            </w:r>
            <w:r w:rsidR="005A6187" w:rsidRPr="000C6108">
              <w:rPr>
                <w:rFonts w:ascii="Times New Roman" w:hAnsi="Times New Roman" w:cs="Times New Roman"/>
                <w:sz w:val="26"/>
                <w:szCs w:val="26"/>
              </w:rPr>
              <w:t xml:space="preserve"> ir reģistrēta komercreģistrā ar reģistrācijas numuru 4000</w:t>
            </w:r>
            <w:r w:rsidR="009B3189">
              <w:rPr>
                <w:rFonts w:ascii="Times New Roman" w:hAnsi="Times New Roman" w:cs="Times New Roman"/>
                <w:sz w:val="26"/>
                <w:szCs w:val="26"/>
              </w:rPr>
              <w:t>3052790</w:t>
            </w:r>
            <w:r w:rsidR="005A6187" w:rsidRPr="000C6108">
              <w:rPr>
                <w:rFonts w:ascii="Times New Roman" w:hAnsi="Times New Roman" w:cs="Times New Roman"/>
                <w:sz w:val="26"/>
                <w:szCs w:val="26"/>
              </w:rPr>
              <w:t xml:space="preserve">3, juridiskā adrese – </w:t>
            </w:r>
            <w:r w:rsidR="009B3189">
              <w:rPr>
                <w:rFonts w:ascii="Times New Roman" w:hAnsi="Times New Roman" w:cs="Times New Roman"/>
                <w:sz w:val="26"/>
                <w:szCs w:val="26"/>
              </w:rPr>
              <w:t>Ziemeļu iela 10</w:t>
            </w:r>
            <w:r w:rsidR="005A6187" w:rsidRPr="000C6108">
              <w:rPr>
                <w:rFonts w:ascii="Times New Roman" w:hAnsi="Times New Roman" w:cs="Times New Roman"/>
                <w:sz w:val="26"/>
                <w:szCs w:val="26"/>
              </w:rPr>
              <w:t>,</w:t>
            </w:r>
            <w:r w:rsidR="009B3189">
              <w:rPr>
                <w:rFonts w:ascii="Times New Roman" w:hAnsi="Times New Roman" w:cs="Times New Roman"/>
                <w:sz w:val="26"/>
                <w:szCs w:val="26"/>
              </w:rPr>
              <w:t xml:space="preserve"> Lidosta “Rīga”, Mārupes novads, LV-1000</w:t>
            </w:r>
            <w:r w:rsidR="005A6187" w:rsidRPr="000C6108">
              <w:rPr>
                <w:rFonts w:ascii="Times New Roman" w:hAnsi="Times New Roman" w:cs="Times New Roman"/>
                <w:sz w:val="26"/>
                <w:szCs w:val="26"/>
              </w:rPr>
              <w:t>.</w:t>
            </w:r>
            <w:r w:rsidR="009B3189">
              <w:rPr>
                <w:rFonts w:ascii="Times New Roman" w:hAnsi="Times New Roman" w:cs="Times New Roman"/>
                <w:sz w:val="26"/>
                <w:szCs w:val="26"/>
              </w:rPr>
              <w:t xml:space="preserve"> </w:t>
            </w:r>
          </w:p>
          <w:p w14:paraId="613E5378" w14:textId="78E15500" w:rsidR="00B54C1E" w:rsidRDefault="00B54C1E" w:rsidP="00993F87">
            <w:pPr>
              <w:autoSpaceDE w:val="0"/>
              <w:autoSpaceDN w:val="0"/>
              <w:adjustRightInd w:val="0"/>
              <w:snapToGrid w:val="0"/>
              <w:spacing w:after="0" w:line="240" w:lineRule="auto"/>
              <w:ind w:firstLine="335"/>
              <w:jc w:val="both"/>
              <w:rPr>
                <w:rFonts w:ascii="Times New Roman" w:hAnsi="Times New Roman" w:cs="Times New Roman"/>
                <w:sz w:val="26"/>
                <w:szCs w:val="26"/>
              </w:rPr>
            </w:pPr>
            <w:r>
              <w:rPr>
                <w:rFonts w:ascii="Times New Roman" w:hAnsi="Times New Roman" w:cs="Times New Roman"/>
                <w:sz w:val="26"/>
                <w:szCs w:val="26"/>
              </w:rPr>
              <w:t>LP</w:t>
            </w:r>
            <w:r w:rsidR="005A6187" w:rsidRPr="000C6108">
              <w:rPr>
                <w:rFonts w:ascii="Times New Roman" w:hAnsi="Times New Roman" w:cs="Times New Roman"/>
                <w:sz w:val="26"/>
                <w:szCs w:val="26"/>
              </w:rPr>
              <w:t xml:space="preserve"> ir </w:t>
            </w:r>
            <w:r>
              <w:rPr>
                <w:rFonts w:ascii="Times New Roman" w:hAnsi="Times New Roman" w:cs="Times New Roman"/>
                <w:sz w:val="26"/>
                <w:szCs w:val="26"/>
              </w:rPr>
              <w:t xml:space="preserve">lielākais pasta pakalpojumu sniedzējs Latvijā, tā pamatdarbības veidi ir tradicionālie pasta pakalpojumi, kas ietver iekšzemes un pārrobežu pasta sūtījumu  (t.sk. vēstuļu korespondences un pasta paku sūtījumu) savākšanu, šķirošanu, pārvadāšanu un piegādi, un citi pasta pakalpojumi, kas ietver eksprespasta pakalpojumus un abonēto preses izdevumu piegādes pakalpojumus.  Saskaņā ar  noslēgto līgumu starp LP un valsts aģentūru “Valsts sociālās apdrošināšanas aģentūra” , LP nodrošina valsts pensiju, pabalstu un atlīdzību piegādi klientu dzīves vietā visā Latvijas teritorijā. </w:t>
            </w:r>
            <w:r w:rsidR="00190FF3">
              <w:rPr>
                <w:rFonts w:ascii="Times New Roman" w:hAnsi="Times New Roman" w:cs="Times New Roman"/>
                <w:sz w:val="26"/>
                <w:szCs w:val="26"/>
              </w:rPr>
              <w:t xml:space="preserve">Papildus LP piedāvā filatēlijas </w:t>
            </w:r>
            <w:r w:rsidR="00190FF3">
              <w:rPr>
                <w:rFonts w:ascii="Times New Roman" w:hAnsi="Times New Roman" w:cs="Times New Roman"/>
                <w:sz w:val="26"/>
                <w:szCs w:val="26"/>
              </w:rPr>
              <w:lastRenderedPageBreak/>
              <w:t xml:space="preserve">pakalpojumus, neadresētās reklāmas/informatīvo materiālu piegādi, pasta norēķinu sistēmas pakalpojumus u.c. pakalpojumus. </w:t>
            </w:r>
          </w:p>
          <w:p w14:paraId="53B469B1" w14:textId="5333F90E" w:rsidR="00190FF3" w:rsidRDefault="00E03F91" w:rsidP="00993F87">
            <w:pPr>
              <w:autoSpaceDE w:val="0"/>
              <w:autoSpaceDN w:val="0"/>
              <w:adjustRightInd w:val="0"/>
              <w:snapToGrid w:val="0"/>
              <w:spacing w:after="0" w:line="240" w:lineRule="auto"/>
              <w:ind w:firstLine="335"/>
              <w:jc w:val="both"/>
              <w:rPr>
                <w:rFonts w:ascii="Times New Roman" w:hAnsi="Times New Roman" w:cs="Times New Roman"/>
                <w:sz w:val="26"/>
                <w:szCs w:val="26"/>
              </w:rPr>
            </w:pPr>
            <w:r>
              <w:rPr>
                <w:rFonts w:ascii="Times New Roman" w:hAnsi="Times New Roman" w:cs="Times New Roman"/>
                <w:sz w:val="26"/>
                <w:szCs w:val="26"/>
              </w:rPr>
              <w:t xml:space="preserve">Līdz </w:t>
            </w:r>
            <w:r w:rsidR="00190FF3">
              <w:rPr>
                <w:rFonts w:ascii="Times New Roman" w:hAnsi="Times New Roman" w:cs="Times New Roman"/>
                <w:sz w:val="26"/>
                <w:szCs w:val="26"/>
              </w:rPr>
              <w:t>2021.gada 31.decembrim LP ir vienīgā universālā pasta pakalpojuma  (turpmāk- UPP) sniedzēja statuss</w:t>
            </w:r>
            <w:r w:rsidR="00547E26">
              <w:rPr>
                <w:rFonts w:ascii="Times New Roman" w:hAnsi="Times New Roman" w:cs="Times New Roman"/>
                <w:sz w:val="26"/>
                <w:szCs w:val="26"/>
              </w:rPr>
              <w:t xml:space="preserve">, kas saskaņā ar </w:t>
            </w:r>
            <w:r w:rsidR="00547E26" w:rsidRPr="00547E26">
              <w:rPr>
                <w:rFonts w:ascii="Times New Roman" w:hAnsi="Times New Roman" w:cs="Times New Roman"/>
                <w:sz w:val="26"/>
                <w:szCs w:val="26"/>
              </w:rPr>
              <w:t>Sabiedrisko pakalpojumu regulēšanas komisijas Padomes 20</w:t>
            </w:r>
            <w:r w:rsidR="00547E26">
              <w:rPr>
                <w:rFonts w:ascii="Times New Roman" w:hAnsi="Times New Roman" w:cs="Times New Roman"/>
                <w:sz w:val="26"/>
                <w:szCs w:val="26"/>
              </w:rPr>
              <w:t>1</w:t>
            </w:r>
            <w:r w:rsidR="00547E26" w:rsidRPr="00547E26">
              <w:rPr>
                <w:rFonts w:ascii="Times New Roman" w:hAnsi="Times New Roman" w:cs="Times New Roman"/>
                <w:sz w:val="26"/>
                <w:szCs w:val="26"/>
              </w:rPr>
              <w:t xml:space="preserve">9.gada </w:t>
            </w:r>
            <w:r w:rsidR="00547E26">
              <w:rPr>
                <w:rFonts w:ascii="Times New Roman" w:hAnsi="Times New Roman" w:cs="Times New Roman"/>
                <w:sz w:val="26"/>
                <w:szCs w:val="26"/>
              </w:rPr>
              <w:t>3.oktobra</w:t>
            </w:r>
            <w:r w:rsidR="00547E26" w:rsidRPr="00547E26">
              <w:rPr>
                <w:rFonts w:ascii="Times New Roman" w:hAnsi="Times New Roman" w:cs="Times New Roman"/>
                <w:sz w:val="26"/>
                <w:szCs w:val="26"/>
              </w:rPr>
              <w:t xml:space="preserve"> lēmumu Nr.</w:t>
            </w:r>
            <w:r w:rsidR="00547E26">
              <w:rPr>
                <w:rFonts w:ascii="Times New Roman" w:hAnsi="Times New Roman" w:cs="Times New Roman"/>
                <w:sz w:val="26"/>
                <w:szCs w:val="26"/>
              </w:rPr>
              <w:t>154 “</w:t>
            </w:r>
            <w:r w:rsidR="00547E26" w:rsidRPr="00547E26">
              <w:rPr>
                <w:rFonts w:ascii="Times New Roman" w:hAnsi="Times New Roman" w:cs="Times New Roman"/>
                <w:sz w:val="26"/>
                <w:szCs w:val="26"/>
              </w:rPr>
              <w:t>Par universālā pasta pakalpojuma saistībām</w:t>
            </w:r>
            <w:r w:rsidR="00547E26">
              <w:rPr>
                <w:rFonts w:ascii="Times New Roman" w:hAnsi="Times New Roman" w:cs="Times New Roman"/>
                <w:sz w:val="26"/>
                <w:szCs w:val="26"/>
              </w:rPr>
              <w:t>”</w:t>
            </w:r>
            <w:r w:rsidR="00190FF3">
              <w:rPr>
                <w:rFonts w:ascii="Times New Roman" w:hAnsi="Times New Roman" w:cs="Times New Roman"/>
                <w:sz w:val="26"/>
                <w:szCs w:val="26"/>
              </w:rPr>
              <w:t xml:space="preserve"> Latvijas teritorijā nodrošina </w:t>
            </w:r>
            <w:r w:rsidR="00AE5880">
              <w:rPr>
                <w:rFonts w:ascii="Times New Roman" w:hAnsi="Times New Roman" w:cs="Times New Roman"/>
                <w:sz w:val="26"/>
                <w:szCs w:val="26"/>
              </w:rPr>
              <w:t xml:space="preserve">UPP sarakstā esošo </w:t>
            </w:r>
            <w:r w:rsidR="00190FF3">
              <w:rPr>
                <w:rFonts w:ascii="Times New Roman" w:hAnsi="Times New Roman" w:cs="Times New Roman"/>
                <w:sz w:val="26"/>
                <w:szCs w:val="26"/>
              </w:rPr>
              <w:t xml:space="preserve">pakalpojumu </w:t>
            </w:r>
            <w:r w:rsidR="00AE5880">
              <w:rPr>
                <w:rFonts w:ascii="Times New Roman" w:hAnsi="Times New Roman" w:cs="Times New Roman"/>
                <w:sz w:val="26"/>
                <w:szCs w:val="26"/>
              </w:rPr>
              <w:t xml:space="preserve">sniegšanu atbilstoši </w:t>
            </w:r>
            <w:r w:rsidR="00190FF3">
              <w:rPr>
                <w:rFonts w:ascii="Times New Roman" w:hAnsi="Times New Roman" w:cs="Times New Roman"/>
                <w:sz w:val="26"/>
                <w:szCs w:val="26"/>
              </w:rPr>
              <w:t xml:space="preserve">noteiktajām kvalitātes prasībām attiecībā uz pasta sūtījumu savākšanas, pārsūtīšanas un piegādes  biežumu, ātrumu, regularitāti, kā arī prasībām attiecībā uz pasta </w:t>
            </w:r>
            <w:r w:rsidR="00AE5880">
              <w:rPr>
                <w:rFonts w:ascii="Times New Roman" w:hAnsi="Times New Roman" w:cs="Times New Roman"/>
                <w:sz w:val="26"/>
                <w:szCs w:val="26"/>
              </w:rPr>
              <w:t xml:space="preserve">pakalpojumu sniegšanas vietu un pasta </w:t>
            </w:r>
            <w:r w:rsidR="00190FF3">
              <w:rPr>
                <w:rFonts w:ascii="Times New Roman" w:hAnsi="Times New Roman" w:cs="Times New Roman"/>
                <w:sz w:val="26"/>
                <w:szCs w:val="26"/>
              </w:rPr>
              <w:t>tīkla piekļuves punktu blīvumu un skaitu, un garantē UPP sarakstā ietilpstošo pasta pakalpojumu sniegšanu vi</w:t>
            </w:r>
            <w:r w:rsidR="00220610">
              <w:rPr>
                <w:rFonts w:ascii="Times New Roman" w:hAnsi="Times New Roman" w:cs="Times New Roman"/>
                <w:sz w:val="26"/>
                <w:szCs w:val="26"/>
              </w:rPr>
              <w:t>sā</w:t>
            </w:r>
            <w:r w:rsidR="00190FF3">
              <w:rPr>
                <w:rFonts w:ascii="Times New Roman" w:hAnsi="Times New Roman" w:cs="Times New Roman"/>
                <w:sz w:val="26"/>
                <w:szCs w:val="26"/>
              </w:rPr>
              <w:t xml:space="preserve"> Latvijas Republikas teritorijā par vienotu tarifu.</w:t>
            </w:r>
          </w:p>
          <w:p w14:paraId="3A73B665" w14:textId="5DC8A729" w:rsidR="00547E26" w:rsidRDefault="00547E26" w:rsidP="00E03F91">
            <w:pPr>
              <w:ind w:firstLine="406"/>
              <w:jc w:val="both"/>
              <w:rPr>
                <w:rFonts w:ascii="Times New Roman" w:hAnsi="Times New Roman" w:cs="Times New Roman"/>
                <w:sz w:val="26"/>
                <w:szCs w:val="26"/>
              </w:rPr>
            </w:pPr>
            <w:r w:rsidRPr="00547E26">
              <w:rPr>
                <w:rFonts w:ascii="Times New Roman" w:hAnsi="Times New Roman" w:cs="Times New Roman"/>
                <w:sz w:val="26"/>
                <w:szCs w:val="26"/>
              </w:rPr>
              <w:t xml:space="preserve">Saskaņā ar Sabiedrisko pakalpojumu regulēšanas komisijas Padomes 2009.gada 7.decembra lēmumu Nr.408 „Par pārstāvību attiecībās ar citu valstu noteiktiem pasta operatoriem” </w:t>
            </w:r>
            <w:r>
              <w:rPr>
                <w:rFonts w:ascii="Times New Roman" w:hAnsi="Times New Roman" w:cs="Times New Roman"/>
                <w:sz w:val="26"/>
                <w:szCs w:val="26"/>
              </w:rPr>
              <w:t>LP</w:t>
            </w:r>
            <w:r w:rsidRPr="00547E26">
              <w:rPr>
                <w:rFonts w:ascii="Times New Roman" w:hAnsi="Times New Roman" w:cs="Times New Roman"/>
                <w:sz w:val="26"/>
                <w:szCs w:val="26"/>
              </w:rPr>
              <w:t xml:space="preserve"> </w:t>
            </w:r>
            <w:r w:rsidR="00AE5880">
              <w:rPr>
                <w:rFonts w:ascii="Times New Roman" w:hAnsi="Times New Roman" w:cs="Times New Roman"/>
                <w:sz w:val="26"/>
                <w:szCs w:val="26"/>
              </w:rPr>
              <w:t xml:space="preserve">ir Latvijas izraudzītais pasta operators, ka </w:t>
            </w:r>
            <w:r w:rsidRPr="00547E26">
              <w:rPr>
                <w:rFonts w:ascii="Times New Roman" w:hAnsi="Times New Roman" w:cs="Times New Roman"/>
                <w:sz w:val="26"/>
                <w:szCs w:val="26"/>
              </w:rPr>
              <w:t xml:space="preserve">sniedz Latvijas teritorijā pasta pakalpojumus, pildot visas no </w:t>
            </w:r>
            <w:r>
              <w:rPr>
                <w:rFonts w:ascii="Times New Roman" w:hAnsi="Times New Roman" w:cs="Times New Roman"/>
                <w:sz w:val="26"/>
                <w:szCs w:val="26"/>
              </w:rPr>
              <w:t xml:space="preserve">Pasaules </w:t>
            </w:r>
            <w:r w:rsidR="00AE5880">
              <w:rPr>
                <w:rFonts w:ascii="Times New Roman" w:hAnsi="Times New Roman" w:cs="Times New Roman"/>
                <w:sz w:val="26"/>
                <w:szCs w:val="26"/>
              </w:rPr>
              <w:t>P</w:t>
            </w:r>
            <w:r>
              <w:rPr>
                <w:rFonts w:ascii="Times New Roman" w:hAnsi="Times New Roman" w:cs="Times New Roman"/>
                <w:sz w:val="26"/>
                <w:szCs w:val="26"/>
              </w:rPr>
              <w:t>asta savienības</w:t>
            </w:r>
            <w:r w:rsidRPr="00547E26">
              <w:rPr>
                <w:rFonts w:ascii="Times New Roman" w:hAnsi="Times New Roman" w:cs="Times New Roman"/>
                <w:sz w:val="26"/>
                <w:szCs w:val="26"/>
              </w:rPr>
              <w:t xml:space="preserve"> dokumentiem izrietošās saistības</w:t>
            </w:r>
            <w:r>
              <w:rPr>
                <w:rFonts w:ascii="Times New Roman" w:hAnsi="Times New Roman" w:cs="Times New Roman"/>
                <w:sz w:val="26"/>
                <w:szCs w:val="26"/>
              </w:rPr>
              <w:t>, tādējādi nodrošinot noteikt</w:t>
            </w:r>
            <w:r w:rsidR="00AE5880">
              <w:rPr>
                <w:rFonts w:ascii="Times New Roman" w:hAnsi="Times New Roman" w:cs="Times New Roman"/>
                <w:sz w:val="26"/>
                <w:szCs w:val="26"/>
              </w:rPr>
              <w:t>ā</w:t>
            </w:r>
            <w:r>
              <w:rPr>
                <w:rFonts w:ascii="Times New Roman" w:hAnsi="Times New Roman" w:cs="Times New Roman"/>
                <w:sz w:val="26"/>
                <w:szCs w:val="26"/>
              </w:rPr>
              <w:t>s kvalitātes pārrobežu pasta pakalpojumus</w:t>
            </w:r>
            <w:r w:rsidR="00AE5880">
              <w:rPr>
                <w:rFonts w:ascii="Times New Roman" w:hAnsi="Times New Roman" w:cs="Times New Roman"/>
                <w:sz w:val="26"/>
                <w:szCs w:val="26"/>
              </w:rPr>
              <w:t xml:space="preserve"> un</w:t>
            </w:r>
            <w:r>
              <w:rPr>
                <w:rFonts w:ascii="Times New Roman" w:hAnsi="Times New Roman" w:cs="Times New Roman"/>
                <w:sz w:val="26"/>
                <w:szCs w:val="26"/>
              </w:rPr>
              <w:t xml:space="preserve"> pasta sūtījumu apmaiņu (nosūtīšanu un piegādi) starp </w:t>
            </w:r>
            <w:r w:rsidR="00AE5880">
              <w:rPr>
                <w:rFonts w:ascii="Times New Roman" w:hAnsi="Times New Roman" w:cs="Times New Roman"/>
                <w:sz w:val="26"/>
                <w:szCs w:val="26"/>
              </w:rPr>
              <w:t>192 Pasaules Pasta savienības dalīb</w:t>
            </w:r>
            <w:r>
              <w:rPr>
                <w:rFonts w:ascii="Times New Roman" w:hAnsi="Times New Roman" w:cs="Times New Roman"/>
                <w:sz w:val="26"/>
                <w:szCs w:val="26"/>
              </w:rPr>
              <w:t>valstīm.</w:t>
            </w:r>
          </w:p>
          <w:p w14:paraId="08601BAC" w14:textId="4C1AC7E7" w:rsidR="005A6187" w:rsidRPr="00E03F91" w:rsidRDefault="0063200A" w:rsidP="00E03F91">
            <w:pPr>
              <w:ind w:firstLine="406"/>
              <w:jc w:val="both"/>
              <w:rPr>
                <w:rFonts w:ascii="Times New Roman" w:hAnsi="Times New Roman" w:cs="Times New Roman"/>
                <w:color w:val="FF0000"/>
                <w:sz w:val="26"/>
                <w:szCs w:val="26"/>
              </w:rPr>
            </w:pPr>
            <w:r>
              <w:rPr>
                <w:rFonts w:ascii="Times New Roman" w:hAnsi="Times New Roman" w:cs="Times New Roman"/>
                <w:sz w:val="26"/>
                <w:szCs w:val="26"/>
              </w:rPr>
              <w:t>LP ir viens</w:t>
            </w:r>
            <w:r w:rsidR="000C7D2D">
              <w:rPr>
                <w:rFonts w:ascii="Times New Roman" w:hAnsi="Times New Roman" w:cs="Times New Roman"/>
                <w:sz w:val="26"/>
                <w:szCs w:val="26"/>
              </w:rPr>
              <w:t xml:space="preserve"> 100% piederošs</w:t>
            </w:r>
            <w:r>
              <w:rPr>
                <w:rFonts w:ascii="Times New Roman" w:hAnsi="Times New Roman" w:cs="Times New Roman"/>
                <w:sz w:val="26"/>
                <w:szCs w:val="26"/>
              </w:rPr>
              <w:t xml:space="preserve"> meitas uzņēmums- sabiedrība ar ierobežotu atbildību “</w:t>
            </w:r>
            <w:proofErr w:type="spellStart"/>
            <w:r>
              <w:rPr>
                <w:rFonts w:ascii="Times New Roman" w:hAnsi="Times New Roman" w:cs="Times New Roman"/>
                <w:sz w:val="26"/>
                <w:szCs w:val="26"/>
              </w:rPr>
              <w:t>Mailmaster</w:t>
            </w:r>
            <w:proofErr w:type="spellEnd"/>
            <w:r>
              <w:rPr>
                <w:rFonts w:ascii="Times New Roman" w:hAnsi="Times New Roman" w:cs="Times New Roman"/>
                <w:sz w:val="26"/>
                <w:szCs w:val="26"/>
              </w:rPr>
              <w:t>”</w:t>
            </w:r>
            <w:r w:rsidR="000C7D2D">
              <w:rPr>
                <w:rFonts w:ascii="Times New Roman" w:hAnsi="Times New Roman" w:cs="Times New Roman"/>
                <w:sz w:val="26"/>
                <w:szCs w:val="26"/>
              </w:rPr>
              <w:t>,</w:t>
            </w:r>
            <w:r>
              <w:rPr>
                <w:rFonts w:ascii="Times New Roman" w:hAnsi="Times New Roman" w:cs="Times New Roman"/>
                <w:sz w:val="26"/>
                <w:szCs w:val="26"/>
              </w:rPr>
              <w:t xml:space="preserve"> kuras pamatdarbības veids ir mainīgas informācijas digitāla druka (galvenokārt klientu rēķinu izdruka)  un pasta sūtījumu sagatavošana, t.sk. drukāto materiālu iesiešana, korespondences un reklāmas materiālu ievietošana aploksnēs, iepakošana polietilēna vai cita veida materiālos. </w:t>
            </w:r>
            <w:r w:rsidR="000C7D2D" w:rsidRPr="000C7D2D">
              <w:rPr>
                <w:rFonts w:ascii="Times New Roman" w:hAnsi="Times New Roman" w:cs="Times New Roman"/>
                <w:sz w:val="26"/>
                <w:szCs w:val="26"/>
              </w:rPr>
              <w:t>Sadarbībā ar savu meitas uzņēmumu SIA “</w:t>
            </w:r>
            <w:proofErr w:type="spellStart"/>
            <w:r w:rsidR="000C7D2D" w:rsidRPr="000C7D2D">
              <w:rPr>
                <w:rFonts w:ascii="Times New Roman" w:hAnsi="Times New Roman" w:cs="Times New Roman"/>
                <w:sz w:val="26"/>
                <w:szCs w:val="26"/>
              </w:rPr>
              <w:t>Mailmaster</w:t>
            </w:r>
            <w:proofErr w:type="spellEnd"/>
            <w:r w:rsidR="000C7D2D" w:rsidRPr="000C7D2D">
              <w:rPr>
                <w:rFonts w:ascii="Times New Roman" w:hAnsi="Times New Roman" w:cs="Times New Roman"/>
                <w:sz w:val="26"/>
                <w:szCs w:val="26"/>
              </w:rPr>
              <w:t xml:space="preserve">” </w:t>
            </w:r>
            <w:r w:rsidR="000C7D2D">
              <w:rPr>
                <w:rFonts w:ascii="Times New Roman" w:hAnsi="Times New Roman" w:cs="Times New Roman"/>
                <w:sz w:val="26"/>
                <w:szCs w:val="26"/>
              </w:rPr>
              <w:t>LP</w:t>
            </w:r>
            <w:r w:rsidR="000C7D2D" w:rsidRPr="000C7D2D">
              <w:rPr>
                <w:rFonts w:ascii="Times New Roman" w:hAnsi="Times New Roman" w:cs="Times New Roman"/>
                <w:sz w:val="26"/>
                <w:szCs w:val="26"/>
              </w:rPr>
              <w:t xml:space="preserve"> izstrādā vienotus pakalpojumu piedāvājumus gan iekšzemes, gan pārrobežu sadarbības partneriem un klientiem. </w:t>
            </w:r>
            <w:r w:rsidR="000C7D2D">
              <w:rPr>
                <w:rFonts w:ascii="Times New Roman" w:hAnsi="Times New Roman" w:cs="Times New Roman"/>
                <w:sz w:val="26"/>
                <w:szCs w:val="26"/>
              </w:rPr>
              <w:t xml:space="preserve">LP </w:t>
            </w:r>
            <w:r w:rsidR="000C7D2D" w:rsidRPr="000C7D2D">
              <w:rPr>
                <w:rFonts w:ascii="Times New Roman" w:hAnsi="Times New Roman" w:cs="Times New Roman"/>
                <w:sz w:val="26"/>
                <w:szCs w:val="26"/>
              </w:rPr>
              <w:t>kopīgā sadarbībā ar SIA “</w:t>
            </w:r>
            <w:proofErr w:type="spellStart"/>
            <w:r w:rsidR="000C7D2D" w:rsidRPr="000C7D2D">
              <w:rPr>
                <w:rFonts w:ascii="Times New Roman" w:hAnsi="Times New Roman" w:cs="Times New Roman"/>
                <w:sz w:val="26"/>
                <w:szCs w:val="26"/>
              </w:rPr>
              <w:t>Mailmaster</w:t>
            </w:r>
            <w:proofErr w:type="spellEnd"/>
            <w:r w:rsidR="000C7D2D" w:rsidRPr="000C7D2D">
              <w:rPr>
                <w:rFonts w:ascii="Times New Roman" w:hAnsi="Times New Roman" w:cs="Times New Roman"/>
                <w:sz w:val="26"/>
                <w:szCs w:val="26"/>
              </w:rPr>
              <w:t>” un biznesa darbību rezultātā noteiktos segmentos nodrošina sūtījumu apjomu veicināšanu.</w:t>
            </w:r>
          </w:p>
          <w:p w14:paraId="58413129" w14:textId="2D1C1989" w:rsidR="005A6187" w:rsidRPr="00E03F91" w:rsidRDefault="0002484A" w:rsidP="00E03F91">
            <w:pPr>
              <w:autoSpaceDE w:val="0"/>
              <w:autoSpaceDN w:val="0"/>
              <w:adjustRightInd w:val="0"/>
              <w:snapToGrid w:val="0"/>
              <w:spacing w:after="0" w:line="240" w:lineRule="auto"/>
              <w:ind w:firstLine="335"/>
              <w:jc w:val="both"/>
              <w:rPr>
                <w:rFonts w:ascii="Times New Roman" w:hAnsi="Times New Roman" w:cs="Times New Roman"/>
                <w:sz w:val="26"/>
                <w:szCs w:val="26"/>
              </w:rPr>
            </w:pPr>
            <w:r>
              <w:rPr>
                <w:rFonts w:ascii="Times New Roman" w:hAnsi="Times New Roman" w:cs="Times New Roman"/>
                <w:sz w:val="26"/>
                <w:szCs w:val="26"/>
              </w:rPr>
              <w:t>LP m</w:t>
            </w:r>
            <w:r w:rsidR="005A6187" w:rsidRPr="000C6108">
              <w:rPr>
                <w:rFonts w:ascii="Times New Roman" w:hAnsi="Times New Roman" w:cs="Times New Roman"/>
                <w:sz w:val="26"/>
                <w:szCs w:val="26"/>
              </w:rPr>
              <w:t xml:space="preserve">isija ir </w:t>
            </w:r>
            <w:r>
              <w:rPr>
                <w:rFonts w:ascii="Times New Roman" w:hAnsi="Times New Roman" w:cs="Times New Roman"/>
                <w:sz w:val="26"/>
                <w:szCs w:val="26"/>
              </w:rPr>
              <w:t>kvalitatīvi, efektīvi un ekonomiski sniegt pakalpojumus visā Latvijas teritorijā, optimizējot šo pakalpojumu sniegšanu klient</w:t>
            </w:r>
            <w:r w:rsidR="00850C7C">
              <w:rPr>
                <w:rFonts w:ascii="Times New Roman" w:hAnsi="Times New Roman" w:cs="Times New Roman"/>
                <w:sz w:val="26"/>
                <w:szCs w:val="26"/>
              </w:rPr>
              <w:t xml:space="preserve">iem ērtā un pieejamā veidā un nodrošinot konkurētspēju Latvijas pasta pakalpojumu tirgū. </w:t>
            </w:r>
            <w:r>
              <w:rPr>
                <w:rFonts w:ascii="Times New Roman" w:hAnsi="Times New Roman" w:cs="Times New Roman"/>
                <w:sz w:val="26"/>
                <w:szCs w:val="26"/>
              </w:rPr>
              <w:t>LP mērķis ir kļ</w:t>
            </w:r>
            <w:r w:rsidR="00287C47">
              <w:rPr>
                <w:rFonts w:ascii="Times New Roman" w:hAnsi="Times New Roman" w:cs="Times New Roman"/>
                <w:sz w:val="26"/>
                <w:szCs w:val="26"/>
              </w:rPr>
              <w:t xml:space="preserve">ūt par klientu tuvāko palīgu ikdienas gaitās. </w:t>
            </w:r>
          </w:p>
          <w:p w14:paraId="5807E61B" w14:textId="4CFD5B42" w:rsidR="005A6187" w:rsidRPr="000C6108" w:rsidRDefault="005A6187" w:rsidP="00993F87">
            <w:pPr>
              <w:adjustRightInd w:val="0"/>
              <w:snapToGrid w:val="0"/>
              <w:spacing w:after="0" w:line="240" w:lineRule="auto"/>
              <w:ind w:firstLine="335"/>
              <w:jc w:val="both"/>
              <w:rPr>
                <w:rFonts w:ascii="Times New Roman" w:hAnsi="Times New Roman" w:cs="Times New Roman"/>
                <w:bCs/>
                <w:sz w:val="26"/>
                <w:szCs w:val="26"/>
                <w:u w:val="single"/>
              </w:rPr>
            </w:pPr>
            <w:r w:rsidRPr="000C6108">
              <w:rPr>
                <w:rFonts w:ascii="Times New Roman" w:hAnsi="Times New Roman" w:cs="Times New Roman"/>
                <w:sz w:val="26"/>
                <w:szCs w:val="26"/>
                <w:u w:val="single"/>
              </w:rPr>
              <w:t xml:space="preserve">Valsts līdzdalība un valsts līdzdalības pārvērtēšana </w:t>
            </w:r>
            <w:r w:rsidR="00287C47">
              <w:rPr>
                <w:rFonts w:ascii="Times New Roman" w:hAnsi="Times New Roman" w:cs="Times New Roman"/>
                <w:sz w:val="26"/>
                <w:szCs w:val="26"/>
                <w:u w:val="single"/>
              </w:rPr>
              <w:t>LP</w:t>
            </w:r>
          </w:p>
          <w:p w14:paraId="42138F72" w14:textId="77777777" w:rsidR="005A6187" w:rsidRPr="000C6108" w:rsidRDefault="005A6187" w:rsidP="00993F87">
            <w:pPr>
              <w:pStyle w:val="tv213"/>
              <w:shd w:val="clear" w:color="auto" w:fill="FFFFFF"/>
              <w:adjustRightInd w:val="0"/>
              <w:snapToGrid w:val="0"/>
              <w:spacing w:before="0" w:beforeAutospacing="0" w:after="0" w:afterAutospacing="0"/>
              <w:ind w:firstLine="335"/>
              <w:jc w:val="both"/>
              <w:rPr>
                <w:sz w:val="26"/>
                <w:szCs w:val="26"/>
              </w:rPr>
            </w:pPr>
            <w:r w:rsidRPr="000C6108">
              <w:rPr>
                <w:bCs/>
                <w:sz w:val="26"/>
                <w:szCs w:val="26"/>
              </w:rPr>
              <w:t>Saskaņā ar Likuma 7.panta pirmo daļu p</w:t>
            </w:r>
            <w:r w:rsidRPr="000C6108">
              <w:rPr>
                <w:sz w:val="26"/>
                <w:szCs w:val="26"/>
              </w:rPr>
              <w:t xml:space="preserve">ubliskai personai ir pienākums ne retāk kā reizi piecos gados pārvērtēt katru tās tiešo līdzdalību kapitālsabiedrībā un atbilstību Likuma 4.panta </w:t>
            </w:r>
            <w:r w:rsidRPr="000C6108">
              <w:rPr>
                <w:sz w:val="26"/>
                <w:szCs w:val="26"/>
              </w:rPr>
              <w:lastRenderedPageBreak/>
              <w:t>nosacījumiem. Šo prasību nepiemēro, ja likumā ir noteikts, ka attiecīgās kapitālsabiedrības kapitāla daļas vai akcijas nav atsavināmas.</w:t>
            </w:r>
          </w:p>
          <w:p w14:paraId="6A615DA5" w14:textId="3E0C58B1" w:rsidR="005A6187" w:rsidRPr="001B767A" w:rsidRDefault="005A6187" w:rsidP="001B767A">
            <w:pPr>
              <w:pStyle w:val="tv213"/>
              <w:shd w:val="clear" w:color="auto" w:fill="FFFFFF"/>
              <w:adjustRightInd w:val="0"/>
              <w:snapToGrid w:val="0"/>
              <w:spacing w:before="0" w:beforeAutospacing="0" w:after="0" w:afterAutospacing="0"/>
              <w:ind w:firstLine="335"/>
              <w:jc w:val="both"/>
              <w:rPr>
                <w:sz w:val="26"/>
                <w:szCs w:val="26"/>
              </w:rPr>
            </w:pPr>
            <w:r w:rsidRPr="00E03F91">
              <w:rPr>
                <w:sz w:val="26"/>
                <w:szCs w:val="26"/>
              </w:rPr>
              <w:t xml:space="preserve">Ņemot vērā, ka </w:t>
            </w:r>
            <w:r w:rsidR="006762A1" w:rsidRPr="00E03F91">
              <w:rPr>
                <w:sz w:val="26"/>
                <w:szCs w:val="26"/>
              </w:rPr>
              <w:t>LP</w:t>
            </w:r>
            <w:r w:rsidRPr="00E03F91">
              <w:rPr>
                <w:sz w:val="26"/>
                <w:szCs w:val="26"/>
              </w:rPr>
              <w:t xml:space="preserve"> akcijas saskaņā ar </w:t>
            </w:r>
            <w:r w:rsidR="006762A1" w:rsidRPr="00E03F91">
              <w:rPr>
                <w:rFonts w:eastAsia="Calibri"/>
                <w:sz w:val="26"/>
                <w:szCs w:val="26"/>
                <w:lang w:eastAsia="lv-LV"/>
              </w:rPr>
              <w:t xml:space="preserve">Valsts un pašvaldību īpašuma privatizācijas un privatizācijas sertifikātu pabeigšanas likuma 17.panta pirmo daļu nedrīkst privatizēt </w:t>
            </w:r>
            <w:r w:rsidR="00471FCF" w:rsidRPr="00E03F91">
              <w:rPr>
                <w:rFonts w:eastAsia="Calibri"/>
                <w:sz w:val="26"/>
                <w:szCs w:val="26"/>
                <w:lang w:eastAsia="lv-LV"/>
              </w:rPr>
              <w:t>vai</w:t>
            </w:r>
            <w:r w:rsidR="006762A1" w:rsidRPr="00E03F91">
              <w:rPr>
                <w:rFonts w:eastAsia="Calibri"/>
                <w:sz w:val="26"/>
                <w:szCs w:val="26"/>
                <w:lang w:eastAsia="lv-LV"/>
              </w:rPr>
              <w:t xml:space="preserve"> atsavināt</w:t>
            </w:r>
            <w:r w:rsidRPr="00E03F91">
              <w:rPr>
                <w:sz w:val="26"/>
                <w:szCs w:val="26"/>
              </w:rPr>
              <w:t>, publiskai personai nav jāveic tās tiešās līdzdalības kapitālsabiedrībā un atbilstības Likuma 4.panta nosacījumiem izvērtēšana</w:t>
            </w:r>
            <w:r w:rsidRPr="000C6108">
              <w:rPr>
                <w:sz w:val="26"/>
                <w:szCs w:val="26"/>
              </w:rPr>
              <w:t>.</w:t>
            </w:r>
          </w:p>
          <w:p w14:paraId="34526912" w14:textId="14A17152" w:rsidR="005A6187" w:rsidRPr="000C6108" w:rsidRDefault="00FB7973" w:rsidP="00993F87">
            <w:pPr>
              <w:adjustRightInd w:val="0"/>
              <w:snapToGrid w:val="0"/>
              <w:spacing w:after="0" w:line="240" w:lineRule="auto"/>
              <w:ind w:firstLine="335"/>
              <w:jc w:val="both"/>
              <w:rPr>
                <w:rFonts w:ascii="Times New Roman" w:hAnsi="Times New Roman" w:cs="Times New Roman"/>
                <w:sz w:val="26"/>
                <w:szCs w:val="26"/>
                <w:u w:val="single"/>
              </w:rPr>
            </w:pPr>
            <w:r>
              <w:rPr>
                <w:rFonts w:ascii="Times New Roman" w:hAnsi="Times New Roman" w:cs="Times New Roman"/>
                <w:sz w:val="26"/>
                <w:szCs w:val="26"/>
                <w:u w:val="single"/>
              </w:rPr>
              <w:t>LP</w:t>
            </w:r>
            <w:r w:rsidR="005A6187" w:rsidRPr="000C6108">
              <w:rPr>
                <w:rFonts w:ascii="Times New Roman" w:hAnsi="Times New Roman" w:cs="Times New Roman"/>
                <w:sz w:val="26"/>
                <w:szCs w:val="26"/>
                <w:u w:val="single"/>
              </w:rPr>
              <w:t xml:space="preserve"> vispārējā stratēģiskā mērķa noteikšana:</w:t>
            </w:r>
          </w:p>
          <w:p w14:paraId="5895A11E" w14:textId="39A821EF" w:rsidR="005A6187" w:rsidRPr="00C723A8" w:rsidRDefault="00FB7973" w:rsidP="00993F87">
            <w:pPr>
              <w:pStyle w:val="ListParagraph"/>
              <w:tabs>
                <w:tab w:val="left" w:pos="142"/>
              </w:tabs>
              <w:spacing w:after="120"/>
              <w:ind w:left="0" w:firstLine="567"/>
              <w:jc w:val="both"/>
              <w:rPr>
                <w:rFonts w:ascii="Times New Roman" w:hAnsi="Times New Roman" w:cs="Times New Roman"/>
                <w:sz w:val="26"/>
                <w:szCs w:val="26"/>
              </w:rPr>
            </w:pPr>
            <w:r>
              <w:rPr>
                <w:rFonts w:ascii="Times New Roman" w:hAnsi="Times New Roman" w:cs="Times New Roman"/>
                <w:sz w:val="26"/>
                <w:szCs w:val="26"/>
              </w:rPr>
              <w:t xml:space="preserve">LP </w:t>
            </w:r>
            <w:r w:rsidR="005A6187" w:rsidRPr="00C723A8">
              <w:rPr>
                <w:rFonts w:ascii="Times New Roman" w:hAnsi="Times New Roman" w:cs="Times New Roman"/>
                <w:sz w:val="26"/>
                <w:szCs w:val="26"/>
              </w:rPr>
              <w:t xml:space="preserve">salīdzinošās priekšrocības un unikalitāte, atbilstoši Valsts pārvaldes iekārtas likuma </w:t>
            </w:r>
            <w:r w:rsidR="005A6187" w:rsidRPr="00F14689">
              <w:rPr>
                <w:rFonts w:ascii="Times New Roman" w:hAnsi="Times New Roman" w:cs="Times New Roman"/>
                <w:sz w:val="26"/>
                <w:szCs w:val="26"/>
              </w:rPr>
              <w:t xml:space="preserve">88.panta pirmās daļas </w:t>
            </w:r>
            <w:r w:rsidR="00850C7C" w:rsidRPr="00F14689">
              <w:rPr>
                <w:rFonts w:ascii="Times New Roman" w:hAnsi="Times New Roman" w:cs="Times New Roman"/>
                <w:sz w:val="26"/>
                <w:szCs w:val="26"/>
              </w:rPr>
              <w:t>2.</w:t>
            </w:r>
            <w:r w:rsidR="005A6187" w:rsidRPr="00F14689">
              <w:rPr>
                <w:rFonts w:ascii="Times New Roman" w:hAnsi="Times New Roman" w:cs="Times New Roman"/>
                <w:sz w:val="26"/>
                <w:szCs w:val="26"/>
              </w:rPr>
              <w:t>punktam,</w:t>
            </w:r>
            <w:r w:rsidR="005A6187" w:rsidRPr="00C723A8">
              <w:rPr>
                <w:rFonts w:ascii="Times New Roman" w:hAnsi="Times New Roman" w:cs="Times New Roman"/>
                <w:sz w:val="26"/>
                <w:szCs w:val="26"/>
              </w:rPr>
              <w:t xml:space="preserve"> sniedzot sabiedrībai pakalpojumus ir: </w:t>
            </w:r>
          </w:p>
          <w:p w14:paraId="7F52E3F8" w14:textId="371ED112" w:rsidR="005A6187" w:rsidRDefault="00471FCF" w:rsidP="005A6187">
            <w:pPr>
              <w:pStyle w:val="ListParagraph"/>
              <w:numPr>
                <w:ilvl w:val="0"/>
                <w:numId w:val="1"/>
              </w:numPr>
              <w:autoSpaceDE w:val="0"/>
              <w:autoSpaceDN w:val="0"/>
              <w:adjustRightInd w:val="0"/>
              <w:snapToGrid w:val="0"/>
              <w:spacing w:after="0" w:line="240" w:lineRule="auto"/>
              <w:ind w:left="0" w:firstLine="335"/>
              <w:contextualSpacing w:val="0"/>
              <w:jc w:val="both"/>
              <w:rPr>
                <w:rFonts w:ascii="Times New Roman" w:hAnsi="Times New Roman" w:cs="Times New Roman"/>
                <w:sz w:val="26"/>
                <w:szCs w:val="26"/>
              </w:rPr>
            </w:pPr>
            <w:r>
              <w:rPr>
                <w:rFonts w:ascii="Times New Roman" w:hAnsi="Times New Roman" w:cs="Times New Roman"/>
                <w:sz w:val="26"/>
                <w:szCs w:val="26"/>
              </w:rPr>
              <w:t>LP</w:t>
            </w:r>
            <w:r w:rsidR="005A6187" w:rsidRPr="00B34844">
              <w:rPr>
                <w:rFonts w:ascii="Times New Roman" w:hAnsi="Times New Roman" w:cs="Times New Roman"/>
                <w:sz w:val="26"/>
                <w:szCs w:val="26"/>
              </w:rPr>
              <w:t xml:space="preserve"> ir vienīgā 100% valstij piederošā, neprivatizējamā</w:t>
            </w:r>
            <w:r w:rsidR="005A6187" w:rsidRPr="000C6108">
              <w:rPr>
                <w:rFonts w:ascii="Times New Roman" w:hAnsi="Times New Roman" w:cs="Times New Roman"/>
                <w:sz w:val="26"/>
                <w:szCs w:val="26"/>
              </w:rPr>
              <w:t xml:space="preserve"> kapitālsabiedrība, kuras pamatdarbība un kompetence ir</w:t>
            </w:r>
            <w:r w:rsidR="00E538F9">
              <w:rPr>
                <w:rFonts w:ascii="Times New Roman" w:hAnsi="Times New Roman" w:cs="Times New Roman"/>
                <w:sz w:val="26"/>
                <w:szCs w:val="26"/>
              </w:rPr>
              <w:t xml:space="preserve"> nodrošināt</w:t>
            </w:r>
            <w:r w:rsidR="005A6187" w:rsidRPr="000C6108">
              <w:rPr>
                <w:rFonts w:ascii="Times New Roman" w:hAnsi="Times New Roman" w:cs="Times New Roman"/>
                <w:sz w:val="26"/>
                <w:szCs w:val="26"/>
              </w:rPr>
              <w:t xml:space="preserve"> </w:t>
            </w:r>
            <w:r>
              <w:rPr>
                <w:rFonts w:ascii="Times New Roman" w:hAnsi="Times New Roman" w:cs="Times New Roman"/>
                <w:sz w:val="26"/>
                <w:szCs w:val="26"/>
              </w:rPr>
              <w:t>pasta</w:t>
            </w:r>
            <w:r w:rsidR="005A6187" w:rsidRPr="000C6108">
              <w:rPr>
                <w:rFonts w:ascii="Times New Roman" w:hAnsi="Times New Roman" w:cs="Times New Roman"/>
                <w:sz w:val="26"/>
                <w:szCs w:val="26"/>
              </w:rPr>
              <w:t xml:space="preserve"> pakalpojum</w:t>
            </w:r>
            <w:r>
              <w:rPr>
                <w:rFonts w:ascii="Times New Roman" w:hAnsi="Times New Roman" w:cs="Times New Roman"/>
                <w:sz w:val="26"/>
                <w:szCs w:val="26"/>
              </w:rPr>
              <w:t xml:space="preserve">u </w:t>
            </w:r>
            <w:r w:rsidR="00850C7C">
              <w:rPr>
                <w:rFonts w:ascii="Times New Roman" w:hAnsi="Times New Roman" w:cs="Times New Roman"/>
                <w:sz w:val="26"/>
                <w:szCs w:val="26"/>
              </w:rPr>
              <w:t xml:space="preserve">pieejamību </w:t>
            </w:r>
            <w:r>
              <w:rPr>
                <w:rFonts w:ascii="Times New Roman" w:hAnsi="Times New Roman" w:cs="Times New Roman"/>
                <w:sz w:val="26"/>
                <w:szCs w:val="26"/>
              </w:rPr>
              <w:t>visā Latvijas teritorijā</w:t>
            </w:r>
            <w:r w:rsidR="005A6187" w:rsidRPr="000C6108">
              <w:rPr>
                <w:rFonts w:ascii="Times New Roman" w:hAnsi="Times New Roman" w:cs="Times New Roman"/>
                <w:sz w:val="26"/>
                <w:szCs w:val="26"/>
              </w:rPr>
              <w:t>;</w:t>
            </w:r>
          </w:p>
          <w:p w14:paraId="3DD30408" w14:textId="47003A48" w:rsidR="00E20798" w:rsidRPr="00E20798" w:rsidRDefault="00E20798" w:rsidP="00E538F9">
            <w:pPr>
              <w:pStyle w:val="ListParagraph"/>
              <w:numPr>
                <w:ilvl w:val="0"/>
                <w:numId w:val="1"/>
              </w:numPr>
              <w:autoSpaceDE w:val="0"/>
              <w:autoSpaceDN w:val="0"/>
              <w:adjustRightInd w:val="0"/>
              <w:snapToGrid w:val="0"/>
              <w:spacing w:after="0" w:line="240" w:lineRule="auto"/>
              <w:ind w:left="0" w:firstLine="335"/>
              <w:contextualSpacing w:val="0"/>
              <w:jc w:val="both"/>
              <w:rPr>
                <w:rFonts w:ascii="Times New Roman" w:hAnsi="Times New Roman" w:cs="Times New Roman"/>
                <w:sz w:val="26"/>
                <w:szCs w:val="26"/>
              </w:rPr>
            </w:pPr>
            <w:r>
              <w:rPr>
                <w:rFonts w:ascii="Times New Roman" w:hAnsi="Times New Roman" w:cs="Times New Roman"/>
                <w:sz w:val="26"/>
                <w:szCs w:val="26"/>
              </w:rPr>
              <w:t>LP ir vienīgā  UPP</w:t>
            </w:r>
            <w:r w:rsidR="00C77E6A">
              <w:rPr>
                <w:rFonts w:ascii="Times New Roman" w:hAnsi="Times New Roman" w:cs="Times New Roman"/>
                <w:sz w:val="26"/>
                <w:szCs w:val="26"/>
              </w:rPr>
              <w:t xml:space="preserve"> </w:t>
            </w:r>
            <w:r>
              <w:rPr>
                <w:rFonts w:ascii="Times New Roman" w:hAnsi="Times New Roman" w:cs="Times New Roman"/>
                <w:sz w:val="26"/>
                <w:szCs w:val="26"/>
              </w:rPr>
              <w:t>sniedzēja statuss</w:t>
            </w:r>
            <w:r w:rsidR="00C77E6A">
              <w:rPr>
                <w:rFonts w:ascii="Times New Roman" w:hAnsi="Times New Roman" w:cs="Times New Roman"/>
                <w:sz w:val="26"/>
                <w:szCs w:val="26"/>
              </w:rPr>
              <w:t>;</w:t>
            </w:r>
          </w:p>
          <w:p w14:paraId="49F944EF" w14:textId="2C654EEC" w:rsidR="00E538F9" w:rsidRDefault="00E538F9" w:rsidP="00E538F9">
            <w:pPr>
              <w:pStyle w:val="ListParagraph"/>
              <w:numPr>
                <w:ilvl w:val="0"/>
                <w:numId w:val="1"/>
              </w:numPr>
              <w:autoSpaceDE w:val="0"/>
              <w:autoSpaceDN w:val="0"/>
              <w:adjustRightInd w:val="0"/>
              <w:snapToGrid w:val="0"/>
              <w:spacing w:after="0" w:line="240" w:lineRule="auto"/>
              <w:ind w:left="0" w:firstLine="335"/>
              <w:contextualSpacing w:val="0"/>
              <w:jc w:val="both"/>
              <w:rPr>
                <w:rFonts w:ascii="Times New Roman" w:hAnsi="Times New Roman" w:cs="Times New Roman"/>
                <w:sz w:val="26"/>
                <w:szCs w:val="26"/>
              </w:rPr>
            </w:pPr>
            <w:r w:rsidRPr="00A27523">
              <w:rPr>
                <w:rFonts w:ascii="Times New Roman" w:hAnsi="Times New Roman" w:cs="Times New Roman"/>
                <w:sz w:val="26"/>
                <w:szCs w:val="26"/>
              </w:rPr>
              <w:t>LP nodrošina kvalitatīvu iekšzemes un pārrobežu pakalpojumu sniegšanu</w:t>
            </w:r>
            <w:r w:rsidR="00A27523">
              <w:rPr>
                <w:rFonts w:ascii="Times New Roman" w:hAnsi="Times New Roman" w:cs="Times New Roman"/>
                <w:sz w:val="26"/>
                <w:szCs w:val="26"/>
              </w:rPr>
              <w:t>;</w:t>
            </w:r>
          </w:p>
          <w:p w14:paraId="0B016C65" w14:textId="76E1C0C5" w:rsidR="00E538F9" w:rsidRPr="001B767A" w:rsidRDefault="00A27523" w:rsidP="00E538F9">
            <w:pPr>
              <w:pStyle w:val="ListParagraph"/>
              <w:numPr>
                <w:ilvl w:val="0"/>
                <w:numId w:val="1"/>
              </w:numPr>
              <w:autoSpaceDE w:val="0"/>
              <w:autoSpaceDN w:val="0"/>
              <w:adjustRightInd w:val="0"/>
              <w:snapToGrid w:val="0"/>
              <w:spacing w:after="0" w:line="240" w:lineRule="auto"/>
              <w:ind w:left="0" w:firstLine="335"/>
              <w:contextualSpacing w:val="0"/>
              <w:jc w:val="both"/>
              <w:rPr>
                <w:rFonts w:ascii="Times New Roman" w:hAnsi="Times New Roman" w:cs="Times New Roman"/>
                <w:sz w:val="26"/>
                <w:szCs w:val="26"/>
              </w:rPr>
            </w:pPr>
            <w:r>
              <w:rPr>
                <w:rFonts w:ascii="Times New Roman" w:hAnsi="Times New Roman" w:cs="Times New Roman"/>
                <w:sz w:val="26"/>
                <w:szCs w:val="26"/>
              </w:rPr>
              <w:t xml:space="preserve">LP ir </w:t>
            </w:r>
            <w:r w:rsidR="003B2FEC">
              <w:rPr>
                <w:rFonts w:ascii="Times New Roman" w:hAnsi="Times New Roman" w:cs="Times New Roman"/>
                <w:sz w:val="26"/>
                <w:szCs w:val="26"/>
              </w:rPr>
              <w:t xml:space="preserve">moderns  </w:t>
            </w:r>
            <w:r>
              <w:rPr>
                <w:rFonts w:ascii="Times New Roman" w:hAnsi="Times New Roman" w:cs="Times New Roman"/>
                <w:sz w:val="26"/>
                <w:szCs w:val="26"/>
              </w:rPr>
              <w:t xml:space="preserve">tradicionālo pasta pakalpojumu </w:t>
            </w:r>
            <w:r w:rsidR="003B2FEC">
              <w:rPr>
                <w:rFonts w:ascii="Times New Roman" w:hAnsi="Times New Roman" w:cs="Times New Roman"/>
                <w:sz w:val="26"/>
                <w:szCs w:val="26"/>
              </w:rPr>
              <w:t>sniedzējs</w:t>
            </w:r>
            <w:r>
              <w:rPr>
                <w:rFonts w:ascii="Times New Roman" w:hAnsi="Times New Roman" w:cs="Times New Roman"/>
                <w:sz w:val="26"/>
                <w:szCs w:val="26"/>
              </w:rPr>
              <w:t xml:space="preserve">, tai pat laikā LP ievieš </w:t>
            </w:r>
            <w:r w:rsidR="003B2FEC">
              <w:rPr>
                <w:rFonts w:ascii="Times New Roman" w:hAnsi="Times New Roman" w:cs="Times New Roman"/>
                <w:sz w:val="26"/>
                <w:szCs w:val="26"/>
              </w:rPr>
              <w:t>mūsdienu vajadzībām atbilstošus</w:t>
            </w:r>
            <w:r>
              <w:rPr>
                <w:rFonts w:ascii="Times New Roman" w:hAnsi="Times New Roman" w:cs="Times New Roman"/>
                <w:sz w:val="26"/>
                <w:szCs w:val="26"/>
              </w:rPr>
              <w:t xml:space="preserve"> modernus </w:t>
            </w:r>
            <w:r w:rsidR="00A24B79" w:rsidRPr="00C40335">
              <w:rPr>
                <w:rFonts w:ascii="Times New Roman" w:hAnsi="Times New Roman" w:cs="Times New Roman"/>
                <w:sz w:val="26"/>
                <w:szCs w:val="26"/>
              </w:rPr>
              <w:t>pakalpojumus ar pievienotu vērtību</w:t>
            </w:r>
            <w:r w:rsidR="00A24B79">
              <w:rPr>
                <w:rFonts w:ascii="Times New Roman" w:hAnsi="Times New Roman" w:cs="Times New Roman"/>
                <w:sz w:val="26"/>
                <w:szCs w:val="26"/>
              </w:rPr>
              <w:t xml:space="preserve"> un </w:t>
            </w:r>
            <w:r>
              <w:rPr>
                <w:rFonts w:ascii="Times New Roman" w:hAnsi="Times New Roman" w:cs="Times New Roman"/>
                <w:sz w:val="26"/>
                <w:szCs w:val="26"/>
              </w:rPr>
              <w:t xml:space="preserve">risinājumus klientu apkalpošanas, šķirošanas, piegādes </w:t>
            </w:r>
            <w:proofErr w:type="spellStart"/>
            <w:r>
              <w:rPr>
                <w:rFonts w:ascii="Times New Roman" w:hAnsi="Times New Roman" w:cs="Times New Roman"/>
                <w:sz w:val="26"/>
                <w:szCs w:val="26"/>
              </w:rPr>
              <w:t>u.c.jomās</w:t>
            </w:r>
            <w:proofErr w:type="spellEnd"/>
            <w:r>
              <w:rPr>
                <w:rFonts w:ascii="Times New Roman" w:hAnsi="Times New Roman" w:cs="Times New Roman"/>
                <w:sz w:val="26"/>
                <w:szCs w:val="26"/>
              </w:rPr>
              <w:t xml:space="preserve">. </w:t>
            </w:r>
          </w:p>
          <w:p w14:paraId="49C24E14" w14:textId="45668759" w:rsidR="005A6187" w:rsidRDefault="005A6187">
            <w:pPr>
              <w:pStyle w:val="ListParagraph"/>
              <w:ind w:left="0"/>
              <w:jc w:val="both"/>
              <w:rPr>
                <w:rFonts w:ascii="Times New Roman" w:hAnsi="Times New Roman" w:cs="Times New Roman"/>
                <w:sz w:val="26"/>
                <w:szCs w:val="26"/>
                <w:lang w:eastAsia="lv-LV"/>
              </w:rPr>
            </w:pPr>
            <w:r w:rsidRPr="001B767A">
              <w:rPr>
                <w:rFonts w:ascii="Times New Roman" w:hAnsi="Times New Roman" w:cs="Times New Roman"/>
                <w:bCs/>
                <w:iCs/>
                <w:sz w:val="26"/>
                <w:szCs w:val="26"/>
                <w:lang w:eastAsia="lv-LV"/>
              </w:rPr>
              <w:t>Ņemot vērā minēto</w:t>
            </w:r>
            <w:r w:rsidRPr="000C6108">
              <w:rPr>
                <w:rFonts w:ascii="Times New Roman" w:hAnsi="Times New Roman" w:cs="Times New Roman"/>
                <w:sz w:val="26"/>
                <w:szCs w:val="26"/>
                <w:lang w:eastAsia="lv-LV"/>
              </w:rPr>
              <w:t xml:space="preserve"> var secināt, ka </w:t>
            </w:r>
            <w:r w:rsidR="00E538F9">
              <w:rPr>
                <w:rFonts w:ascii="Times New Roman" w:hAnsi="Times New Roman" w:cs="Times New Roman"/>
                <w:sz w:val="26"/>
                <w:szCs w:val="26"/>
                <w:lang w:eastAsia="lv-LV"/>
              </w:rPr>
              <w:t>LP</w:t>
            </w:r>
            <w:r w:rsidRPr="000C6108">
              <w:rPr>
                <w:rFonts w:ascii="Times New Roman" w:hAnsi="Times New Roman" w:cs="Times New Roman"/>
                <w:sz w:val="26"/>
                <w:szCs w:val="26"/>
                <w:lang w:eastAsia="lv-LV"/>
              </w:rPr>
              <w:t xml:space="preserve"> ir vienīgais </w:t>
            </w:r>
            <w:r w:rsidR="00E538F9">
              <w:rPr>
                <w:rFonts w:ascii="Times New Roman" w:hAnsi="Times New Roman" w:cs="Times New Roman"/>
                <w:sz w:val="26"/>
                <w:szCs w:val="26"/>
                <w:lang w:eastAsia="lv-LV"/>
              </w:rPr>
              <w:t xml:space="preserve">lielākais pasta pakalpojumu </w:t>
            </w:r>
            <w:r w:rsidRPr="000C6108">
              <w:rPr>
                <w:rFonts w:ascii="Times New Roman" w:hAnsi="Times New Roman" w:cs="Times New Roman"/>
                <w:sz w:val="26"/>
                <w:szCs w:val="26"/>
                <w:lang w:eastAsia="lv-LV"/>
              </w:rPr>
              <w:t xml:space="preserve"> sniedzējs</w:t>
            </w:r>
            <w:r w:rsidR="00352AB7" w:rsidRPr="000C6108">
              <w:rPr>
                <w:rFonts w:ascii="Times New Roman" w:hAnsi="Times New Roman" w:cs="Times New Roman"/>
                <w:sz w:val="26"/>
                <w:szCs w:val="26"/>
                <w:lang w:eastAsia="lv-LV"/>
              </w:rPr>
              <w:t xml:space="preserve"> Latvijas Republikā</w:t>
            </w:r>
            <w:r w:rsidRPr="000C6108">
              <w:rPr>
                <w:rFonts w:ascii="Times New Roman" w:hAnsi="Times New Roman" w:cs="Times New Roman"/>
                <w:sz w:val="26"/>
                <w:szCs w:val="26"/>
                <w:lang w:eastAsia="lv-LV"/>
              </w:rPr>
              <w:t xml:space="preserve">, kas var nodrošināt </w:t>
            </w:r>
            <w:r w:rsidR="00352AB7">
              <w:rPr>
                <w:rFonts w:ascii="Times New Roman" w:hAnsi="Times New Roman" w:cs="Times New Roman"/>
                <w:sz w:val="26"/>
                <w:szCs w:val="26"/>
                <w:lang w:eastAsia="lv-LV"/>
              </w:rPr>
              <w:t xml:space="preserve">kvalitatīvus un sasniedzamus pasta pakalpojumus visā Latvijas teritorijā. </w:t>
            </w:r>
          </w:p>
          <w:p w14:paraId="59D89B4F" w14:textId="5831AAB1" w:rsidR="00050DA2" w:rsidRPr="00050DA2" w:rsidRDefault="005A6187" w:rsidP="006E132B">
            <w:pPr>
              <w:pStyle w:val="ListParagraph"/>
              <w:ind w:left="0"/>
              <w:jc w:val="both"/>
              <w:rPr>
                <w:rFonts w:ascii="Times New Roman" w:eastAsia="Calibri" w:hAnsi="Times New Roman" w:cs="Times New Roman"/>
                <w:sz w:val="24"/>
                <w:szCs w:val="24"/>
              </w:rPr>
            </w:pPr>
            <w:r w:rsidRPr="000C6108">
              <w:rPr>
                <w:rFonts w:ascii="Times New Roman" w:hAnsi="Times New Roman" w:cs="Times New Roman"/>
                <w:sz w:val="26"/>
                <w:szCs w:val="26"/>
              </w:rPr>
              <w:t xml:space="preserve">Ņemot vērā iepriekš minēto un pamatojoties uz Publiskas personas kapitāla daļu un kapitālsabiedrību pārvaldības likuma 1. panta pirmās daļas 18. punktu un 7. pantu, </w:t>
            </w:r>
            <w:r w:rsidR="00E538F9">
              <w:rPr>
                <w:rFonts w:ascii="Times New Roman" w:hAnsi="Times New Roman" w:cs="Times New Roman"/>
                <w:sz w:val="26"/>
                <w:szCs w:val="26"/>
              </w:rPr>
              <w:t>LP</w:t>
            </w:r>
            <w:r w:rsidRPr="000C6108">
              <w:rPr>
                <w:rFonts w:ascii="Times New Roman" w:hAnsi="Times New Roman" w:cs="Times New Roman"/>
                <w:sz w:val="26"/>
                <w:szCs w:val="26"/>
              </w:rPr>
              <w:t xml:space="preserve"> vispārējais stratēģiskais mērķis ir nosakāms šāds: </w:t>
            </w:r>
            <w:r w:rsidR="00050DA2" w:rsidRPr="00050DA2">
              <w:rPr>
                <w:rFonts w:ascii="Times New Roman" w:eastAsia="Calibri" w:hAnsi="Times New Roman" w:cs="Times New Roman"/>
                <w:sz w:val="24"/>
                <w:szCs w:val="24"/>
              </w:rPr>
              <w:t>nodrošināt efektīvu, ērtu un pieejamu uz aktuālajām klientu vajadzībām orientētu kvalitatīvu iekšzemes un pārrobežu pasta pakalpojumu sniegšanu, balstoties uz jaunajiem standartiem, informācijas un komunikācijas tehnoloģijām un veicinot pasta pakalpojumu un augstas integritātes un pieejamības pasta tīkla efektīvu darbību un ilgtspējīgu attīstību, kā arī stiprinot droša un uzticama partnera tēlu, būt līderim Latvijas pasta pakalpojumu tirgū.</w:t>
            </w:r>
          </w:p>
          <w:p w14:paraId="5A0866A7" w14:textId="21377468" w:rsidR="005A6187" w:rsidRPr="000C6108" w:rsidRDefault="005A6187" w:rsidP="00993F87">
            <w:pPr>
              <w:adjustRightInd w:val="0"/>
              <w:snapToGrid w:val="0"/>
              <w:spacing w:after="0" w:line="240" w:lineRule="auto"/>
              <w:ind w:firstLine="335"/>
              <w:jc w:val="both"/>
              <w:rPr>
                <w:rFonts w:ascii="Times New Roman" w:hAnsi="Times New Roman" w:cs="Times New Roman"/>
                <w:sz w:val="26"/>
                <w:szCs w:val="26"/>
              </w:rPr>
            </w:pPr>
          </w:p>
        </w:tc>
      </w:tr>
      <w:tr w:rsidR="005A6187" w:rsidRPr="000C6108" w14:paraId="0CF79DA0" w14:textId="77777777" w:rsidTr="00993F87">
        <w:trPr>
          <w:trHeight w:val="372"/>
        </w:trPr>
        <w:tc>
          <w:tcPr>
            <w:tcW w:w="155" w:type="pct"/>
            <w:tcBorders>
              <w:top w:val="outset" w:sz="6" w:space="0" w:color="414142"/>
              <w:left w:val="outset" w:sz="6" w:space="0" w:color="414142"/>
              <w:bottom w:val="outset" w:sz="6" w:space="0" w:color="414142"/>
              <w:right w:val="outset" w:sz="6" w:space="0" w:color="414142"/>
            </w:tcBorders>
            <w:hideMark/>
          </w:tcPr>
          <w:p w14:paraId="14060E8A"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lastRenderedPageBreak/>
              <w:t>3.</w:t>
            </w:r>
          </w:p>
        </w:tc>
        <w:tc>
          <w:tcPr>
            <w:tcW w:w="1150" w:type="pct"/>
            <w:tcBorders>
              <w:top w:val="outset" w:sz="6" w:space="0" w:color="414142"/>
              <w:left w:val="outset" w:sz="6" w:space="0" w:color="414142"/>
              <w:bottom w:val="outset" w:sz="6" w:space="0" w:color="414142"/>
              <w:right w:val="outset" w:sz="6" w:space="0" w:color="414142"/>
            </w:tcBorders>
            <w:hideMark/>
          </w:tcPr>
          <w:p w14:paraId="476890C9"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Projekta izstrādē iesaistītās institūcijas un publiskas personas kapitālsabiedrības</w:t>
            </w:r>
          </w:p>
        </w:tc>
        <w:tc>
          <w:tcPr>
            <w:tcW w:w="3695" w:type="pct"/>
            <w:tcBorders>
              <w:top w:val="outset" w:sz="6" w:space="0" w:color="414142"/>
              <w:left w:val="outset" w:sz="6" w:space="0" w:color="414142"/>
              <w:bottom w:val="outset" w:sz="6" w:space="0" w:color="414142"/>
              <w:right w:val="outset" w:sz="6" w:space="0" w:color="414142"/>
            </w:tcBorders>
            <w:hideMark/>
          </w:tcPr>
          <w:p w14:paraId="118741E5" w14:textId="4ABA34F6" w:rsidR="005A6187" w:rsidRPr="000C61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0C6108">
              <w:rPr>
                <w:rFonts w:ascii="Times New Roman" w:hAnsi="Times New Roman" w:cs="Times New Roman"/>
                <w:sz w:val="26"/>
                <w:szCs w:val="26"/>
              </w:rPr>
              <w:t>Satiksmes ministrija</w:t>
            </w:r>
            <w:r>
              <w:rPr>
                <w:rFonts w:ascii="Times New Roman" w:hAnsi="Times New Roman" w:cs="Times New Roman"/>
                <w:sz w:val="26"/>
                <w:szCs w:val="26"/>
              </w:rPr>
              <w:t xml:space="preserve"> un</w:t>
            </w:r>
            <w:r w:rsidRPr="000C6108">
              <w:rPr>
                <w:rFonts w:ascii="Times New Roman" w:hAnsi="Times New Roman" w:cs="Times New Roman"/>
                <w:sz w:val="26"/>
                <w:szCs w:val="26"/>
              </w:rPr>
              <w:t xml:space="preserve"> </w:t>
            </w:r>
            <w:r w:rsidR="00352AB7">
              <w:rPr>
                <w:rFonts w:ascii="Times New Roman" w:hAnsi="Times New Roman" w:cs="Times New Roman"/>
                <w:sz w:val="26"/>
                <w:szCs w:val="26"/>
              </w:rPr>
              <w:t>LP</w:t>
            </w:r>
          </w:p>
        </w:tc>
      </w:tr>
      <w:tr w:rsidR="005A6187" w:rsidRPr="000C6108" w14:paraId="057DAA62" w14:textId="77777777" w:rsidTr="00993F87">
        <w:tc>
          <w:tcPr>
            <w:tcW w:w="155" w:type="pct"/>
            <w:tcBorders>
              <w:top w:val="outset" w:sz="6" w:space="0" w:color="414142"/>
              <w:left w:val="outset" w:sz="6" w:space="0" w:color="414142"/>
              <w:bottom w:val="outset" w:sz="6" w:space="0" w:color="414142"/>
              <w:right w:val="outset" w:sz="6" w:space="0" w:color="414142"/>
            </w:tcBorders>
            <w:hideMark/>
          </w:tcPr>
          <w:p w14:paraId="1266B5C8"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4.</w:t>
            </w:r>
          </w:p>
        </w:tc>
        <w:tc>
          <w:tcPr>
            <w:tcW w:w="1150" w:type="pct"/>
            <w:tcBorders>
              <w:top w:val="outset" w:sz="6" w:space="0" w:color="414142"/>
              <w:left w:val="outset" w:sz="6" w:space="0" w:color="414142"/>
              <w:bottom w:val="outset" w:sz="6" w:space="0" w:color="414142"/>
              <w:right w:val="outset" w:sz="6" w:space="0" w:color="414142"/>
            </w:tcBorders>
            <w:hideMark/>
          </w:tcPr>
          <w:p w14:paraId="0958650B"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Cita informācija</w:t>
            </w:r>
          </w:p>
        </w:tc>
        <w:tc>
          <w:tcPr>
            <w:tcW w:w="3695" w:type="pct"/>
            <w:tcBorders>
              <w:top w:val="outset" w:sz="6" w:space="0" w:color="414142"/>
              <w:left w:val="outset" w:sz="6" w:space="0" w:color="414142"/>
              <w:bottom w:val="outset" w:sz="6" w:space="0" w:color="414142"/>
              <w:right w:val="outset" w:sz="6" w:space="0" w:color="414142"/>
            </w:tcBorders>
            <w:hideMark/>
          </w:tcPr>
          <w:p w14:paraId="1F2910FE" w14:textId="77777777" w:rsidR="005A6187" w:rsidRPr="008868CB" w:rsidRDefault="005A6187" w:rsidP="00993F87">
            <w:pPr>
              <w:snapToGrid w:val="0"/>
              <w:spacing w:after="0" w:line="240" w:lineRule="auto"/>
              <w:ind w:firstLine="335"/>
              <w:jc w:val="both"/>
              <w:rPr>
                <w:rFonts w:ascii="Times New Roman" w:eastAsia="Times New Roman" w:hAnsi="Times New Roman" w:cs="Times New Roman"/>
                <w:sz w:val="26"/>
                <w:szCs w:val="26"/>
                <w:lang w:eastAsia="lv-LV"/>
              </w:rPr>
            </w:pPr>
            <w:r w:rsidRPr="008868CB">
              <w:rPr>
                <w:rFonts w:ascii="Times New Roman" w:eastAsia="Times New Roman" w:hAnsi="Times New Roman" w:cs="Times New Roman"/>
                <w:sz w:val="26"/>
                <w:szCs w:val="26"/>
                <w:lang w:eastAsia="lv-LV"/>
              </w:rPr>
              <w:t>Nav</w:t>
            </w:r>
          </w:p>
        </w:tc>
      </w:tr>
    </w:tbl>
    <w:p w14:paraId="40FE175E" w14:textId="77777777" w:rsidR="005A6187" w:rsidRPr="000C61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895"/>
        <w:gridCol w:w="5978"/>
      </w:tblGrid>
      <w:tr w:rsidR="005A6187" w:rsidRPr="000C6108" w14:paraId="3855BB96" w14:textId="77777777" w:rsidTr="00993F87">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ED3399A" w14:textId="77777777" w:rsidR="005A6187" w:rsidRPr="000C61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bookmarkStart w:id="0" w:name="_Hlk16090773"/>
            <w:r w:rsidRPr="000C6108">
              <w:rPr>
                <w:rFonts w:ascii="Times New Roman" w:eastAsia="Times New Roman" w:hAnsi="Times New Roman" w:cs="Times New Roman"/>
                <w:b/>
                <w:bCs/>
                <w:sz w:val="26"/>
                <w:szCs w:val="26"/>
                <w:lang w:eastAsia="lv-LV"/>
              </w:rPr>
              <w:t>II. Tiesību akta projekta ietekme uz sabiedrību, tautsaimniecības attīstību un administratīvo slogu</w:t>
            </w:r>
          </w:p>
        </w:tc>
      </w:tr>
      <w:tr w:rsidR="005A6187" w:rsidRPr="000C6108" w14:paraId="40EC2B57" w14:textId="77777777" w:rsidTr="00993F87">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4C0A4009"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40476B3E"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 xml:space="preserve">Sabiedrības </w:t>
            </w:r>
            <w:proofErr w:type="spellStart"/>
            <w:r w:rsidRPr="000C6108">
              <w:rPr>
                <w:rFonts w:ascii="Times New Roman" w:eastAsia="Times New Roman" w:hAnsi="Times New Roman" w:cs="Times New Roman"/>
                <w:sz w:val="26"/>
                <w:szCs w:val="26"/>
                <w:lang w:eastAsia="lv-LV"/>
              </w:rPr>
              <w:t>mērķgrupas</w:t>
            </w:r>
            <w:proofErr w:type="spellEnd"/>
            <w:r w:rsidRPr="000C6108">
              <w:rPr>
                <w:rFonts w:ascii="Times New Roman" w:eastAsia="Times New Roman" w:hAnsi="Times New Roman" w:cs="Times New Roman"/>
                <w:sz w:val="26"/>
                <w:szCs w:val="26"/>
                <w:lang w:eastAsia="lv-LV"/>
              </w:rPr>
              <w:t>,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14:paraId="0EE9F86D" w14:textId="6F318322" w:rsidR="005A6187" w:rsidRPr="000C6108" w:rsidRDefault="00352AB7" w:rsidP="00993F87">
            <w:pPr>
              <w:snapToGrid w:val="0"/>
              <w:spacing w:after="0" w:line="240" w:lineRule="auto"/>
              <w:ind w:firstLine="335"/>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LP </w:t>
            </w:r>
            <w:r w:rsidR="00CE4CE8">
              <w:rPr>
                <w:rFonts w:ascii="Times New Roman" w:eastAsia="Times New Roman" w:hAnsi="Times New Roman" w:cs="Times New Roman"/>
                <w:sz w:val="26"/>
                <w:szCs w:val="26"/>
                <w:lang w:eastAsia="lv-LV"/>
              </w:rPr>
              <w:t>pakalpojuma saņēmēji.</w:t>
            </w:r>
          </w:p>
        </w:tc>
      </w:tr>
      <w:tr w:rsidR="005A6187" w:rsidRPr="00A63208" w14:paraId="225D35C4"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3F4775D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338136D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14:paraId="7F20A4BF" w14:textId="4892988B" w:rsidR="005A6187" w:rsidRPr="0074462F" w:rsidRDefault="00B75722" w:rsidP="00993F87">
            <w:pPr>
              <w:snapToGrid w:val="0"/>
              <w:spacing w:after="0" w:line="240" w:lineRule="auto"/>
              <w:jc w:val="both"/>
              <w:rPr>
                <w:rFonts w:ascii="Times New Roman" w:eastAsia="Times New Roman" w:hAnsi="Times New Roman" w:cs="Times New Roman"/>
                <w:sz w:val="26"/>
                <w:szCs w:val="26"/>
                <w:lang w:eastAsia="lv-LV"/>
              </w:rPr>
            </w:pPr>
            <w:r>
              <w:rPr>
                <w:rFonts w:ascii="Times New Roman" w:hAnsi="Times New Roman" w:cs="Times New Roman"/>
                <w:sz w:val="26"/>
                <w:szCs w:val="26"/>
              </w:rPr>
              <w:t xml:space="preserve">Projekts </w:t>
            </w:r>
            <w:r w:rsidR="005A6187" w:rsidRPr="0074462F">
              <w:rPr>
                <w:rFonts w:ascii="Times New Roman" w:hAnsi="Times New Roman" w:cs="Times New Roman"/>
                <w:sz w:val="26"/>
                <w:szCs w:val="26"/>
              </w:rPr>
              <w:t xml:space="preserve"> neatstāj ietekmi uz tautsaimniecību, jo nemaina esošo </w:t>
            </w:r>
            <w:r w:rsidR="00BA4FE3">
              <w:rPr>
                <w:rFonts w:ascii="Times New Roman" w:hAnsi="Times New Roman" w:cs="Times New Roman"/>
                <w:sz w:val="26"/>
                <w:szCs w:val="26"/>
              </w:rPr>
              <w:t xml:space="preserve">pasta </w:t>
            </w:r>
            <w:r w:rsidR="005A6187">
              <w:rPr>
                <w:rFonts w:ascii="Times New Roman" w:hAnsi="Times New Roman" w:cs="Times New Roman"/>
                <w:sz w:val="26"/>
                <w:szCs w:val="26"/>
              </w:rPr>
              <w:t xml:space="preserve"> pakalpojumu</w:t>
            </w:r>
            <w:r w:rsidR="005A6187" w:rsidRPr="0074462F">
              <w:rPr>
                <w:rFonts w:ascii="Times New Roman" w:hAnsi="Times New Roman" w:cs="Times New Roman"/>
                <w:sz w:val="26"/>
                <w:szCs w:val="26"/>
              </w:rPr>
              <w:t xml:space="preserve"> nozares institucionālo struktūru. MK rīkojums arī neatstās papildu ietekmi uz administratīvo slogu.</w:t>
            </w:r>
          </w:p>
        </w:tc>
      </w:tr>
      <w:tr w:rsidR="005A6187" w:rsidRPr="00A63208" w14:paraId="54CB536B"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6CE455C6"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14:paraId="0EBB8844"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4B674B94"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hAnsi="Times New Roman" w:cs="Times New Roman"/>
                <w:sz w:val="26"/>
                <w:szCs w:val="26"/>
                <w:lang w:eastAsia="lv-LV"/>
              </w:rPr>
              <w:t>Projekts šo jomu neskar.</w:t>
            </w:r>
          </w:p>
        </w:tc>
      </w:tr>
      <w:tr w:rsidR="005A6187" w:rsidRPr="00A63208" w14:paraId="3A012C57"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tcPr>
          <w:p w14:paraId="174C03DE"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4.</w:t>
            </w:r>
          </w:p>
        </w:tc>
        <w:tc>
          <w:tcPr>
            <w:tcW w:w="1550" w:type="pct"/>
            <w:tcBorders>
              <w:top w:val="outset" w:sz="6" w:space="0" w:color="414142"/>
              <w:left w:val="outset" w:sz="6" w:space="0" w:color="414142"/>
              <w:bottom w:val="outset" w:sz="6" w:space="0" w:color="414142"/>
              <w:right w:val="outset" w:sz="6" w:space="0" w:color="414142"/>
            </w:tcBorders>
          </w:tcPr>
          <w:p w14:paraId="5A3D26E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tcPr>
          <w:p w14:paraId="7709474C" w14:textId="77777777" w:rsidR="005A6187" w:rsidRPr="00A63208" w:rsidRDefault="005A6187" w:rsidP="00993F87">
            <w:pPr>
              <w:snapToGrid w:val="0"/>
              <w:spacing w:after="0" w:line="240" w:lineRule="auto"/>
              <w:ind w:firstLine="335"/>
              <w:rPr>
                <w:rFonts w:ascii="Times New Roman" w:hAnsi="Times New Roman" w:cs="Times New Roman"/>
                <w:sz w:val="26"/>
                <w:szCs w:val="26"/>
                <w:lang w:eastAsia="lv-LV"/>
              </w:rPr>
            </w:pPr>
            <w:r w:rsidRPr="00A63208">
              <w:rPr>
                <w:rFonts w:ascii="Times New Roman" w:hAnsi="Times New Roman" w:cs="Times New Roman"/>
                <w:sz w:val="26"/>
                <w:szCs w:val="26"/>
                <w:lang w:eastAsia="lv-LV"/>
              </w:rPr>
              <w:t>Projekts šo jomu neskar.</w:t>
            </w:r>
          </w:p>
        </w:tc>
      </w:tr>
      <w:bookmarkEnd w:id="0"/>
      <w:tr w:rsidR="005A6187" w:rsidRPr="00A63208" w14:paraId="62FE13BD" w14:textId="77777777" w:rsidTr="00993F87">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5A0ED7A7"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5.</w:t>
            </w:r>
          </w:p>
        </w:tc>
        <w:tc>
          <w:tcPr>
            <w:tcW w:w="1550" w:type="pct"/>
            <w:tcBorders>
              <w:top w:val="outset" w:sz="6" w:space="0" w:color="414142"/>
              <w:left w:val="outset" w:sz="6" w:space="0" w:color="414142"/>
              <w:bottom w:val="outset" w:sz="6" w:space="0" w:color="414142"/>
              <w:right w:val="outset" w:sz="6" w:space="0" w:color="414142"/>
            </w:tcBorders>
            <w:hideMark/>
          </w:tcPr>
          <w:p w14:paraId="0673F78A"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29EC22C1" w14:textId="77777777" w:rsidR="005A6187" w:rsidRPr="00A63208" w:rsidRDefault="005A6187" w:rsidP="00993F87">
            <w:pPr>
              <w:snapToGrid w:val="0"/>
              <w:spacing w:after="0" w:line="240" w:lineRule="auto"/>
              <w:ind w:firstLine="335"/>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Nav.</w:t>
            </w:r>
          </w:p>
        </w:tc>
      </w:tr>
    </w:tbl>
    <w:p w14:paraId="48481A64"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pPr w:leftFromText="180" w:rightFromText="180" w:vertAnchor="text" w:tblpY="1"/>
        <w:tblOverlap w:val="never"/>
        <w:tblW w:w="500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352"/>
      </w:tblGrid>
      <w:tr w:rsidR="005A6187" w:rsidRPr="00A63208" w14:paraId="7A9F6A50" w14:textId="77777777" w:rsidTr="00993F87">
        <w:trPr>
          <w:tblCellSpacing w:w="15" w:type="dxa"/>
        </w:trPr>
        <w:tc>
          <w:tcPr>
            <w:tcW w:w="9291" w:type="dxa"/>
            <w:vAlign w:val="center"/>
            <w:hideMark/>
          </w:tcPr>
          <w:p w14:paraId="11295B47" w14:textId="77777777" w:rsidR="005A6187" w:rsidRPr="00A63208" w:rsidRDefault="005A6187" w:rsidP="00993F87">
            <w:pPr>
              <w:shd w:val="clear" w:color="auto" w:fill="FFFFFF"/>
              <w:snapToGrid w:val="0"/>
              <w:spacing w:after="0" w:line="240" w:lineRule="auto"/>
              <w:ind w:firstLine="301"/>
              <w:jc w:val="both"/>
              <w:rPr>
                <w:rFonts w:ascii="Times New Roman" w:eastAsia="Times New Roman" w:hAnsi="Times New Roman" w:cs="Times New Roman"/>
                <w:b/>
                <w:bCs/>
                <w:iCs/>
                <w:sz w:val="26"/>
                <w:szCs w:val="26"/>
                <w:lang w:eastAsia="lv-LV"/>
              </w:rPr>
            </w:pPr>
            <w:r w:rsidRPr="00A63208">
              <w:rPr>
                <w:rFonts w:ascii="Times New Roman" w:eastAsia="Times New Roman" w:hAnsi="Times New Roman" w:cs="Times New Roman"/>
                <w:b/>
                <w:bCs/>
                <w:iCs/>
                <w:sz w:val="26"/>
                <w:szCs w:val="26"/>
                <w:lang w:eastAsia="lv-LV"/>
              </w:rPr>
              <w:t>III. Tiesību akta projekta ietekme uz valsts budžetu un pašvaldību budžetiem</w:t>
            </w:r>
          </w:p>
        </w:tc>
      </w:tr>
      <w:tr w:rsidR="005A6187" w:rsidRPr="00A63208" w14:paraId="34D22025" w14:textId="77777777" w:rsidTr="00993F87">
        <w:trPr>
          <w:tblCellSpacing w:w="15" w:type="dxa"/>
        </w:trPr>
        <w:tc>
          <w:tcPr>
            <w:tcW w:w="9291" w:type="dxa"/>
            <w:vAlign w:val="center"/>
          </w:tcPr>
          <w:p w14:paraId="50BE6FC1" w14:textId="77777777" w:rsidR="005A6187" w:rsidRPr="00A63208" w:rsidRDefault="005A6187" w:rsidP="00993F87">
            <w:pPr>
              <w:shd w:val="clear" w:color="auto" w:fill="FFFFFF"/>
              <w:snapToGrid w:val="0"/>
              <w:spacing w:after="0" w:line="240" w:lineRule="auto"/>
              <w:ind w:firstLine="301"/>
              <w:jc w:val="center"/>
              <w:rPr>
                <w:rFonts w:ascii="Times New Roman" w:eastAsia="Times New Roman" w:hAnsi="Times New Roman" w:cs="Times New Roman"/>
                <w:b/>
                <w:bCs/>
                <w:i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7C280DE5"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r w:rsidRPr="00A63208">
        <w:rPr>
          <w:rFonts w:ascii="Times New Roman" w:eastAsia="Times New Roman" w:hAnsi="Times New Roman" w:cs="Times New Roman"/>
          <w:iCs/>
          <w:sz w:val="26"/>
          <w:szCs w:val="26"/>
          <w:lang w:eastAsia="lv-LV"/>
        </w:rPr>
        <w:t xml:space="preserve">  </w:t>
      </w: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3F806BE8"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7A9FDF5"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IV. Tiesību akta projekta ietekme uz spēkā esošo tiesību normu sistēmu</w:t>
            </w:r>
          </w:p>
        </w:tc>
      </w:tr>
      <w:tr w:rsidR="005A6187" w:rsidRPr="00A63208" w14:paraId="0CA7BFCF"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3CB87D32" w14:textId="77777777" w:rsidR="005A6187" w:rsidRPr="00A63208" w:rsidRDefault="005A6187" w:rsidP="00993F87">
            <w:pPr>
              <w:snapToGrid w:val="0"/>
              <w:spacing w:after="0" w:line="240" w:lineRule="auto"/>
              <w:jc w:val="center"/>
              <w:rPr>
                <w:rFonts w:ascii="Times New Roman" w:eastAsia="Times New Roman" w:hAnsi="Times New Roman" w:cs="Times New Roman"/>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A76171B" w14:textId="77777777" w:rsidR="005A6187" w:rsidRPr="00A63208" w:rsidRDefault="005A6187" w:rsidP="005A6187">
      <w:pPr>
        <w:shd w:val="clear" w:color="auto" w:fill="FFFFFF"/>
        <w:snapToGrid w:val="0"/>
        <w:spacing w:after="0" w:line="240" w:lineRule="auto"/>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0F4AC561"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3F613569"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 Tiesību akta projekta atbilstība Latvijas Republikas starptautiskajām saistībām</w:t>
            </w:r>
          </w:p>
        </w:tc>
      </w:tr>
      <w:tr w:rsidR="005A6187" w:rsidRPr="00A63208" w14:paraId="2FB0306E"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4282D19C"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53EAEE0" w14:textId="77777777" w:rsidR="005A6187" w:rsidRPr="00A63208" w:rsidRDefault="005A6187" w:rsidP="005A6187">
      <w:pPr>
        <w:shd w:val="clear" w:color="auto" w:fill="FFFFFF"/>
        <w:snapToGrid w:val="0"/>
        <w:spacing w:after="0" w:line="240" w:lineRule="auto"/>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20EEA14A"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0C782B8"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VI. Sabiedrības līdzdalība un komunikācijas aktivitātes</w:t>
            </w:r>
          </w:p>
        </w:tc>
      </w:tr>
      <w:tr w:rsidR="005A6187" w:rsidRPr="00A63208" w14:paraId="2607D726"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7DAE628E"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5D5A67F"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3549"/>
        <w:gridCol w:w="5324"/>
      </w:tblGrid>
      <w:tr w:rsidR="005A6187" w:rsidRPr="00A63208" w14:paraId="682A61A4" w14:textId="77777777" w:rsidTr="00993F87">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06119DF"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VII. Tiesību akta projekta izpildes nodrošināšana un tās ietekme uz institūcijām</w:t>
            </w:r>
          </w:p>
        </w:tc>
      </w:tr>
      <w:tr w:rsidR="005A6187" w:rsidRPr="00A63208" w14:paraId="7EA5DE0C" w14:textId="77777777" w:rsidTr="00993F87">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3CF0C46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7BAC0FAA"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12E1E1F3" w14:textId="11DD44CC" w:rsidR="005A6187" w:rsidRPr="00A63208" w:rsidRDefault="005A6187" w:rsidP="00993F87">
            <w:pPr>
              <w:snapToGrid w:val="0"/>
              <w:spacing w:after="0" w:line="240" w:lineRule="auto"/>
              <w:ind w:right="110" w:firstLine="335"/>
              <w:jc w:val="both"/>
              <w:rPr>
                <w:rFonts w:ascii="Times New Roman" w:eastAsia="Times New Roman" w:hAnsi="Times New Roman" w:cs="Times New Roman"/>
                <w:sz w:val="26"/>
                <w:szCs w:val="26"/>
                <w:lang w:eastAsia="lv-LV"/>
              </w:rPr>
            </w:pPr>
            <w:r w:rsidRPr="00A63208">
              <w:rPr>
                <w:rFonts w:ascii="Times New Roman" w:hAnsi="Times New Roman" w:cs="Times New Roman"/>
                <w:bCs/>
                <w:sz w:val="26"/>
                <w:szCs w:val="26"/>
              </w:rPr>
              <w:t xml:space="preserve">Atbildīgā institūcijas: </w:t>
            </w:r>
            <w:r w:rsidR="00BA4FE3">
              <w:rPr>
                <w:rFonts w:ascii="Times New Roman" w:hAnsi="Times New Roman" w:cs="Times New Roman"/>
                <w:bCs/>
                <w:sz w:val="26"/>
                <w:szCs w:val="26"/>
              </w:rPr>
              <w:t>LP</w:t>
            </w:r>
            <w:r w:rsidRPr="00A63208">
              <w:rPr>
                <w:rFonts w:ascii="Times New Roman" w:hAnsi="Times New Roman" w:cs="Times New Roman"/>
                <w:bCs/>
                <w:sz w:val="26"/>
                <w:szCs w:val="26"/>
              </w:rPr>
              <w:t xml:space="preserve"> un Satiksmes ministrija kā kapitālsabiedrības akciju turētāja un  sakaru politikas veidotāja.</w:t>
            </w:r>
          </w:p>
        </w:tc>
      </w:tr>
      <w:tr w:rsidR="005A6187" w:rsidRPr="00A63208" w14:paraId="11E755F9" w14:textId="77777777" w:rsidTr="00993F87">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3C446A18"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14:paraId="27A6FEC0"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 xml:space="preserve">Projekta izpildes ietekme uz pārvaldes funkcijām un institucionālo struktūru. </w:t>
            </w:r>
          </w:p>
          <w:p w14:paraId="4C87D208"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11916549"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hAnsi="Times New Roman" w:cs="Times New Roman"/>
                <w:sz w:val="26"/>
                <w:szCs w:val="26"/>
                <w:lang w:eastAsia="lv-LV"/>
              </w:rPr>
              <w:t>Projekts šo jomu neskar.</w:t>
            </w:r>
          </w:p>
        </w:tc>
      </w:tr>
      <w:tr w:rsidR="005A6187" w:rsidRPr="00A63208" w14:paraId="2EF3FB6C" w14:textId="77777777" w:rsidTr="00993F87">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72D9EAA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2D0AECA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17262F5F"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Nav.</w:t>
            </w:r>
          </w:p>
        </w:tc>
      </w:tr>
    </w:tbl>
    <w:p w14:paraId="610122A4" w14:textId="77777777" w:rsidR="005A6187" w:rsidRPr="00A63208" w:rsidRDefault="005A6187" w:rsidP="005A6187">
      <w:pPr>
        <w:snapToGrid w:val="0"/>
        <w:spacing w:after="0" w:line="240" w:lineRule="auto"/>
        <w:rPr>
          <w:rFonts w:ascii="Times New Roman" w:hAnsi="Times New Roman" w:cs="Times New Roman"/>
          <w:sz w:val="26"/>
          <w:szCs w:val="26"/>
        </w:rPr>
      </w:pPr>
    </w:p>
    <w:p w14:paraId="039AE791" w14:textId="77777777" w:rsidR="005A6187" w:rsidRPr="00A63208" w:rsidRDefault="005A6187" w:rsidP="005A6187">
      <w:pPr>
        <w:snapToGrid w:val="0"/>
        <w:spacing w:after="0" w:line="240" w:lineRule="auto"/>
        <w:rPr>
          <w:rFonts w:ascii="Times New Roman" w:hAnsi="Times New Roman" w:cs="Times New Roman"/>
          <w:sz w:val="26"/>
          <w:szCs w:val="26"/>
          <w:lang w:eastAsia="lv-LV"/>
        </w:rPr>
      </w:pPr>
    </w:p>
    <w:p w14:paraId="68B24E0F" w14:textId="77777777" w:rsidR="005A6187" w:rsidRPr="00A63208" w:rsidRDefault="005A6187" w:rsidP="005A6187">
      <w:pPr>
        <w:snapToGrid w:val="0"/>
        <w:spacing w:after="0" w:line="240" w:lineRule="auto"/>
        <w:rPr>
          <w:rFonts w:ascii="Times New Roman" w:hAnsi="Times New Roman" w:cs="Times New Roman"/>
          <w:sz w:val="26"/>
          <w:szCs w:val="26"/>
          <w:lang w:eastAsia="lv-LV"/>
        </w:rPr>
      </w:pPr>
    </w:p>
    <w:p w14:paraId="1B6991FC" w14:textId="77777777" w:rsidR="005A6187" w:rsidRPr="00A63208" w:rsidRDefault="005A6187" w:rsidP="005A6187">
      <w:pPr>
        <w:snapToGrid w:val="0"/>
        <w:spacing w:after="0" w:line="240" w:lineRule="auto"/>
        <w:rPr>
          <w:rFonts w:ascii="Times New Roman" w:hAnsi="Times New Roman" w:cs="Times New Roman"/>
          <w:sz w:val="26"/>
          <w:szCs w:val="26"/>
          <w:lang w:eastAsia="lv-LV"/>
        </w:rPr>
      </w:pPr>
      <w:r w:rsidRPr="00A63208">
        <w:rPr>
          <w:rFonts w:ascii="Times New Roman" w:hAnsi="Times New Roman" w:cs="Times New Roman"/>
          <w:sz w:val="26"/>
          <w:szCs w:val="26"/>
          <w:lang w:eastAsia="lv-LV"/>
        </w:rPr>
        <w:t xml:space="preserve">Satiksmes ministrs </w:t>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proofErr w:type="spellStart"/>
      <w:r w:rsidRPr="00A63208">
        <w:rPr>
          <w:rFonts w:ascii="Times New Roman" w:hAnsi="Times New Roman" w:cs="Times New Roman"/>
          <w:sz w:val="26"/>
          <w:szCs w:val="26"/>
          <w:lang w:eastAsia="lv-LV"/>
        </w:rPr>
        <w:t>T.Linkaits</w:t>
      </w:r>
      <w:proofErr w:type="spellEnd"/>
    </w:p>
    <w:p w14:paraId="3C121FAD"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1E56135B"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673145ED"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685473F4" w14:textId="77777777" w:rsidR="005A6187" w:rsidRPr="00495B4A" w:rsidRDefault="005A6187" w:rsidP="005A6187">
      <w:pPr>
        <w:tabs>
          <w:tab w:val="left" w:pos="720"/>
        </w:tabs>
        <w:snapToGrid w:val="0"/>
        <w:spacing w:after="0" w:line="240" w:lineRule="auto"/>
        <w:ind w:right="74"/>
        <w:jc w:val="both"/>
        <w:rPr>
          <w:rFonts w:ascii="Times New Roman" w:hAnsi="Times New Roman" w:cs="Times New Roman"/>
          <w:sz w:val="26"/>
          <w:szCs w:val="26"/>
        </w:rPr>
      </w:pPr>
      <w:r w:rsidRPr="00495B4A">
        <w:rPr>
          <w:rFonts w:ascii="Times New Roman" w:hAnsi="Times New Roman" w:cs="Times New Roman"/>
          <w:sz w:val="26"/>
          <w:szCs w:val="26"/>
        </w:rPr>
        <w:t>Vīza:</w:t>
      </w:r>
    </w:p>
    <w:p w14:paraId="0AF15633" w14:textId="77777777" w:rsidR="005A6187" w:rsidRPr="00495B4A" w:rsidRDefault="005A6187" w:rsidP="005A6187">
      <w:pPr>
        <w:tabs>
          <w:tab w:val="left" w:pos="720"/>
        </w:tabs>
        <w:snapToGrid w:val="0"/>
        <w:spacing w:after="0" w:line="240" w:lineRule="auto"/>
        <w:ind w:right="74"/>
        <w:jc w:val="both"/>
        <w:rPr>
          <w:rFonts w:ascii="Times New Roman" w:hAnsi="Times New Roman" w:cs="Times New Roman"/>
          <w:sz w:val="26"/>
          <w:szCs w:val="26"/>
        </w:rPr>
      </w:pPr>
      <w:r w:rsidRPr="00495B4A">
        <w:rPr>
          <w:rFonts w:ascii="Times New Roman" w:hAnsi="Times New Roman" w:cs="Times New Roman"/>
          <w:sz w:val="26"/>
          <w:szCs w:val="26"/>
        </w:rPr>
        <w:t>valsts sekretār</w:t>
      </w:r>
      <w:r>
        <w:rPr>
          <w:rFonts w:ascii="Times New Roman" w:hAnsi="Times New Roman" w:cs="Times New Roman"/>
          <w:sz w:val="26"/>
          <w:szCs w:val="26"/>
        </w:rPr>
        <w:t>e</w:t>
      </w:r>
      <w:r>
        <w:rPr>
          <w:rFonts w:ascii="Times New Roman" w:hAnsi="Times New Roman" w:cs="Times New Roman"/>
          <w:sz w:val="26"/>
          <w:szCs w:val="26"/>
        </w:rPr>
        <w:tab/>
      </w:r>
      <w:r w:rsidRPr="00495B4A">
        <w:rPr>
          <w:rFonts w:ascii="Times New Roman" w:hAnsi="Times New Roman" w:cs="Times New Roman"/>
          <w:sz w:val="26"/>
          <w:szCs w:val="26"/>
        </w:rPr>
        <w:t xml:space="preserve">                                                                      </w:t>
      </w:r>
      <w:proofErr w:type="spellStart"/>
      <w:r>
        <w:rPr>
          <w:rFonts w:ascii="Times New Roman" w:hAnsi="Times New Roman" w:cs="Times New Roman"/>
          <w:sz w:val="26"/>
          <w:szCs w:val="26"/>
        </w:rPr>
        <w:t>I.Stepanova</w:t>
      </w:r>
      <w:proofErr w:type="spellEnd"/>
    </w:p>
    <w:p w14:paraId="6347E3DF" w14:textId="77777777" w:rsidR="00171E4B" w:rsidRDefault="004D23E7"/>
    <w:sectPr w:rsidR="00171E4B" w:rsidSect="00F0124B">
      <w:headerReference w:type="default" r:id="rId8"/>
      <w:footerReference w:type="default" r:id="rId9"/>
      <w:footerReference w:type="first" r:id="rId10"/>
      <w:pgSz w:w="11906" w:h="16838"/>
      <w:pgMar w:top="1418"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F2DD1" w14:textId="77777777" w:rsidR="00BA320E" w:rsidRDefault="00BA320E">
      <w:pPr>
        <w:spacing w:after="0" w:line="240" w:lineRule="auto"/>
      </w:pPr>
      <w:r>
        <w:separator/>
      </w:r>
    </w:p>
  </w:endnote>
  <w:endnote w:type="continuationSeparator" w:id="0">
    <w:p w14:paraId="7D82E6AF" w14:textId="77777777" w:rsidR="00BA320E" w:rsidRDefault="00BA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68FA8" w14:textId="48552741" w:rsidR="00B23934" w:rsidRPr="00322867" w:rsidRDefault="005A6187" w:rsidP="00322867">
    <w:pPr>
      <w:pStyle w:val="Footer"/>
    </w:pPr>
    <w:r w:rsidRPr="00322867">
      <w:rPr>
        <w:rFonts w:ascii="Times New Roman" w:hAnsi="Times New Roman" w:cs="Times New Roman"/>
        <w:sz w:val="20"/>
        <w:szCs w:val="20"/>
      </w:rPr>
      <w:t>SManot_</w:t>
    </w:r>
    <w:r w:rsidR="00CE4CE8">
      <w:rPr>
        <w:rFonts w:ascii="Times New Roman" w:hAnsi="Times New Roman" w:cs="Times New Roman"/>
        <w:sz w:val="20"/>
        <w:szCs w:val="20"/>
      </w:rPr>
      <w:t>2</w:t>
    </w:r>
    <w:r w:rsidR="00290E6F">
      <w:rPr>
        <w:rFonts w:ascii="Times New Roman" w:hAnsi="Times New Roman" w:cs="Times New Roman"/>
        <w:sz w:val="20"/>
        <w:szCs w:val="20"/>
      </w:rPr>
      <w:t>4</w:t>
    </w:r>
    <w:r w:rsidR="00CE4CE8">
      <w:rPr>
        <w:rFonts w:ascii="Times New Roman" w:hAnsi="Times New Roman" w:cs="Times New Roman"/>
        <w:sz w:val="20"/>
        <w:szCs w:val="20"/>
      </w:rPr>
      <w:t>0820</w:t>
    </w:r>
    <w:r w:rsidRPr="00322867">
      <w:rPr>
        <w:rFonts w:ascii="Times New Roman" w:hAnsi="Times New Roman" w:cs="Times New Roman"/>
        <w:sz w:val="20"/>
        <w:szCs w:val="20"/>
      </w:rPr>
      <w:t>_</w:t>
    </w:r>
    <w:r w:rsidR="00BA4FE3">
      <w:rPr>
        <w:rFonts w:ascii="Times New Roman" w:hAnsi="Times New Roman" w:cs="Times New Roman"/>
        <w:sz w:val="20"/>
        <w:szCs w:val="20"/>
      </w:rPr>
      <w:t>LP_mērķis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A3587" w14:textId="0D4FBA3B" w:rsidR="00BA4FE3" w:rsidRPr="00322867" w:rsidRDefault="00BA4FE3" w:rsidP="00BA4FE3">
    <w:pPr>
      <w:pStyle w:val="Footer"/>
    </w:pPr>
    <w:r w:rsidRPr="00322867">
      <w:rPr>
        <w:rFonts w:ascii="Times New Roman" w:hAnsi="Times New Roman" w:cs="Times New Roman"/>
        <w:sz w:val="20"/>
        <w:szCs w:val="20"/>
      </w:rPr>
      <w:t>SManot_</w:t>
    </w:r>
    <w:r w:rsidR="00B50BD4">
      <w:rPr>
        <w:rFonts w:ascii="Times New Roman" w:hAnsi="Times New Roman" w:cs="Times New Roman"/>
        <w:sz w:val="20"/>
        <w:szCs w:val="20"/>
      </w:rPr>
      <w:t>2</w:t>
    </w:r>
    <w:r w:rsidR="00290E6F">
      <w:rPr>
        <w:rFonts w:ascii="Times New Roman" w:hAnsi="Times New Roman" w:cs="Times New Roman"/>
        <w:sz w:val="20"/>
        <w:szCs w:val="20"/>
      </w:rPr>
      <w:t>4</w:t>
    </w:r>
    <w:r w:rsidR="00B50BD4">
      <w:rPr>
        <w:rFonts w:ascii="Times New Roman" w:hAnsi="Times New Roman" w:cs="Times New Roman"/>
        <w:sz w:val="20"/>
        <w:szCs w:val="20"/>
      </w:rPr>
      <w:t>08</w:t>
    </w:r>
    <w:r w:rsidR="00220610">
      <w:rPr>
        <w:rFonts w:ascii="Times New Roman" w:hAnsi="Times New Roman" w:cs="Times New Roman"/>
        <w:sz w:val="20"/>
        <w:szCs w:val="20"/>
      </w:rPr>
      <w:t>20</w:t>
    </w:r>
    <w:r w:rsidRPr="00322867">
      <w:rPr>
        <w:rFonts w:ascii="Times New Roman" w:hAnsi="Times New Roman" w:cs="Times New Roman"/>
        <w:sz w:val="20"/>
        <w:szCs w:val="20"/>
      </w:rPr>
      <w:t>_</w:t>
    </w:r>
    <w:r>
      <w:rPr>
        <w:rFonts w:ascii="Times New Roman" w:hAnsi="Times New Roman" w:cs="Times New Roman"/>
        <w:sz w:val="20"/>
        <w:szCs w:val="20"/>
      </w:rPr>
      <w:t>LP_mērķis</w:t>
    </w:r>
  </w:p>
  <w:p w14:paraId="4206556D" w14:textId="77777777" w:rsidR="00B23934" w:rsidRPr="00745476" w:rsidRDefault="004D23E7" w:rsidP="00745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DCE5B" w14:textId="77777777" w:rsidR="00BA320E" w:rsidRDefault="00BA320E">
      <w:pPr>
        <w:spacing w:after="0" w:line="240" w:lineRule="auto"/>
      </w:pPr>
      <w:r>
        <w:separator/>
      </w:r>
    </w:p>
  </w:footnote>
  <w:footnote w:type="continuationSeparator" w:id="0">
    <w:p w14:paraId="0F532809" w14:textId="77777777" w:rsidR="00BA320E" w:rsidRDefault="00BA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425786"/>
      <w:docPartObj>
        <w:docPartGallery w:val="Page Numbers (Top of Page)"/>
        <w:docPartUnique/>
      </w:docPartObj>
    </w:sdtPr>
    <w:sdtEndPr>
      <w:rPr>
        <w:rFonts w:ascii="Times New Roman" w:hAnsi="Times New Roman" w:cs="Times New Roman"/>
        <w:noProof/>
        <w:sz w:val="24"/>
        <w:szCs w:val="20"/>
      </w:rPr>
    </w:sdtEndPr>
    <w:sdtContent>
      <w:p w14:paraId="118990AB" w14:textId="77777777" w:rsidR="00B23934" w:rsidRPr="00C25B49" w:rsidRDefault="005A6187">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E5042">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EE84DC76"/>
    <w:name w:val="WW8Num4"/>
    <w:lvl w:ilvl="0">
      <w:start w:val="1"/>
      <w:numFmt w:val="decimal"/>
      <w:lvlText w:val="%1)"/>
      <w:lvlJc w:val="left"/>
      <w:pPr>
        <w:tabs>
          <w:tab w:val="num" w:pos="0"/>
        </w:tabs>
        <w:ind w:left="720" w:hanging="360"/>
      </w:pPr>
      <w:rPr>
        <w:rFonts w:ascii="Times New Roman" w:hAnsi="Times New Roman" w:cs="Times New Roman" w:hint="default"/>
        <w:sz w:val="26"/>
        <w:szCs w:val="26"/>
      </w:rPr>
    </w:lvl>
  </w:abstractNum>
  <w:abstractNum w:abstractNumId="1" w15:restartNumberingAfterBreak="0">
    <w:nsid w:val="0A1B504A"/>
    <w:multiLevelType w:val="hybridMultilevel"/>
    <w:tmpl w:val="7B087D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AE514B"/>
    <w:multiLevelType w:val="hybridMultilevel"/>
    <w:tmpl w:val="D9F2BA5A"/>
    <w:lvl w:ilvl="0" w:tplc="1574567A">
      <w:numFmt w:val="bullet"/>
      <w:lvlText w:val="-"/>
      <w:lvlJc w:val="left"/>
      <w:pPr>
        <w:ind w:left="1074" w:hanging="360"/>
      </w:pPr>
      <w:rPr>
        <w:rFonts w:ascii="Arial" w:eastAsia="Times New Roman" w:hAnsi="Arial" w:cs="Arial" w:hint="default"/>
      </w:rPr>
    </w:lvl>
    <w:lvl w:ilvl="1" w:tplc="04260003">
      <w:start w:val="1"/>
      <w:numFmt w:val="bullet"/>
      <w:lvlText w:val="o"/>
      <w:lvlJc w:val="left"/>
      <w:pPr>
        <w:ind w:left="1794" w:hanging="360"/>
      </w:pPr>
      <w:rPr>
        <w:rFonts w:ascii="Courier New" w:hAnsi="Courier New" w:cs="Courier New" w:hint="default"/>
      </w:rPr>
    </w:lvl>
    <w:lvl w:ilvl="2" w:tplc="04260005">
      <w:start w:val="1"/>
      <w:numFmt w:val="bullet"/>
      <w:lvlText w:val=""/>
      <w:lvlJc w:val="left"/>
      <w:pPr>
        <w:ind w:left="2514" w:hanging="360"/>
      </w:pPr>
      <w:rPr>
        <w:rFonts w:ascii="Wingdings" w:hAnsi="Wingdings" w:hint="default"/>
      </w:rPr>
    </w:lvl>
    <w:lvl w:ilvl="3" w:tplc="04260001">
      <w:start w:val="1"/>
      <w:numFmt w:val="bullet"/>
      <w:lvlText w:val=""/>
      <w:lvlJc w:val="left"/>
      <w:pPr>
        <w:ind w:left="3234" w:hanging="360"/>
      </w:pPr>
      <w:rPr>
        <w:rFonts w:ascii="Symbol" w:hAnsi="Symbol" w:hint="default"/>
      </w:rPr>
    </w:lvl>
    <w:lvl w:ilvl="4" w:tplc="04260003">
      <w:start w:val="1"/>
      <w:numFmt w:val="bullet"/>
      <w:lvlText w:val="o"/>
      <w:lvlJc w:val="left"/>
      <w:pPr>
        <w:ind w:left="3954" w:hanging="360"/>
      </w:pPr>
      <w:rPr>
        <w:rFonts w:ascii="Courier New" w:hAnsi="Courier New" w:cs="Courier New" w:hint="default"/>
      </w:rPr>
    </w:lvl>
    <w:lvl w:ilvl="5" w:tplc="04260005">
      <w:start w:val="1"/>
      <w:numFmt w:val="bullet"/>
      <w:lvlText w:val=""/>
      <w:lvlJc w:val="left"/>
      <w:pPr>
        <w:ind w:left="4674" w:hanging="360"/>
      </w:pPr>
      <w:rPr>
        <w:rFonts w:ascii="Wingdings" w:hAnsi="Wingdings" w:hint="default"/>
      </w:rPr>
    </w:lvl>
    <w:lvl w:ilvl="6" w:tplc="04260001">
      <w:start w:val="1"/>
      <w:numFmt w:val="bullet"/>
      <w:lvlText w:val=""/>
      <w:lvlJc w:val="left"/>
      <w:pPr>
        <w:ind w:left="5394" w:hanging="360"/>
      </w:pPr>
      <w:rPr>
        <w:rFonts w:ascii="Symbol" w:hAnsi="Symbol" w:hint="default"/>
      </w:rPr>
    </w:lvl>
    <w:lvl w:ilvl="7" w:tplc="04260003">
      <w:start w:val="1"/>
      <w:numFmt w:val="bullet"/>
      <w:lvlText w:val="o"/>
      <w:lvlJc w:val="left"/>
      <w:pPr>
        <w:ind w:left="6114" w:hanging="360"/>
      </w:pPr>
      <w:rPr>
        <w:rFonts w:ascii="Courier New" w:hAnsi="Courier New" w:cs="Courier New" w:hint="default"/>
      </w:rPr>
    </w:lvl>
    <w:lvl w:ilvl="8" w:tplc="04260005">
      <w:start w:val="1"/>
      <w:numFmt w:val="bullet"/>
      <w:lvlText w:val=""/>
      <w:lvlJc w:val="left"/>
      <w:pPr>
        <w:ind w:left="6834" w:hanging="360"/>
      </w:pPr>
      <w:rPr>
        <w:rFonts w:ascii="Wingdings" w:hAnsi="Wingdings" w:hint="default"/>
      </w:rPr>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87"/>
    <w:rsid w:val="0002484A"/>
    <w:rsid w:val="00050DA2"/>
    <w:rsid w:val="000C7D2D"/>
    <w:rsid w:val="00157BB7"/>
    <w:rsid w:val="00190FF3"/>
    <w:rsid w:val="001B767A"/>
    <w:rsid w:val="002176DF"/>
    <w:rsid w:val="00220610"/>
    <w:rsid w:val="00255C29"/>
    <w:rsid w:val="002728F0"/>
    <w:rsid w:val="00287C47"/>
    <w:rsid w:val="00290E6F"/>
    <w:rsid w:val="00352AB7"/>
    <w:rsid w:val="00357FCF"/>
    <w:rsid w:val="003B2FEC"/>
    <w:rsid w:val="00471FCF"/>
    <w:rsid w:val="004D23E7"/>
    <w:rsid w:val="00525D84"/>
    <w:rsid w:val="00547E26"/>
    <w:rsid w:val="0055539D"/>
    <w:rsid w:val="00582761"/>
    <w:rsid w:val="005A6187"/>
    <w:rsid w:val="005D1963"/>
    <w:rsid w:val="0063200A"/>
    <w:rsid w:val="006762A1"/>
    <w:rsid w:val="006E132B"/>
    <w:rsid w:val="006E2357"/>
    <w:rsid w:val="006E5042"/>
    <w:rsid w:val="00800E9F"/>
    <w:rsid w:val="00850C7C"/>
    <w:rsid w:val="00883BFC"/>
    <w:rsid w:val="009B3189"/>
    <w:rsid w:val="009E1FB3"/>
    <w:rsid w:val="00A24B79"/>
    <w:rsid w:val="00A27523"/>
    <w:rsid w:val="00AB3EC0"/>
    <w:rsid w:val="00AD2049"/>
    <w:rsid w:val="00AE5880"/>
    <w:rsid w:val="00B07C1A"/>
    <w:rsid w:val="00B41FC4"/>
    <w:rsid w:val="00B50BD4"/>
    <w:rsid w:val="00B54C1E"/>
    <w:rsid w:val="00B75722"/>
    <w:rsid w:val="00B963DC"/>
    <w:rsid w:val="00BA320E"/>
    <w:rsid w:val="00BA4FE3"/>
    <w:rsid w:val="00C147C8"/>
    <w:rsid w:val="00C723A8"/>
    <w:rsid w:val="00C72FBC"/>
    <w:rsid w:val="00C77E6A"/>
    <w:rsid w:val="00CB227F"/>
    <w:rsid w:val="00CE4CE8"/>
    <w:rsid w:val="00DA2A1B"/>
    <w:rsid w:val="00DE21E2"/>
    <w:rsid w:val="00DE6C3A"/>
    <w:rsid w:val="00E03F91"/>
    <w:rsid w:val="00E04773"/>
    <w:rsid w:val="00E04EFC"/>
    <w:rsid w:val="00E20798"/>
    <w:rsid w:val="00E538F9"/>
    <w:rsid w:val="00E67D4C"/>
    <w:rsid w:val="00F14689"/>
    <w:rsid w:val="00FB79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70C8756"/>
  <w15:docId w15:val="{0AE33EBB-5ED0-4CF8-B7AA-9CFC228F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6187"/>
  </w:style>
  <w:style w:type="paragraph" w:styleId="Footer">
    <w:name w:val="footer"/>
    <w:basedOn w:val="Normal"/>
    <w:link w:val="FooterChar"/>
    <w:uiPriority w:val="99"/>
    <w:unhideWhenUsed/>
    <w:rsid w:val="005A6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6187"/>
  </w:style>
  <w:style w:type="paragraph" w:styleId="ListParagraph">
    <w:name w:val="List Paragraph"/>
    <w:basedOn w:val="Normal"/>
    <w:uiPriority w:val="34"/>
    <w:qFormat/>
    <w:rsid w:val="005A6187"/>
    <w:pPr>
      <w:ind w:left="720"/>
      <w:contextualSpacing/>
    </w:pPr>
  </w:style>
  <w:style w:type="table" w:styleId="TableGrid">
    <w:name w:val="Table Grid"/>
    <w:basedOn w:val="TableNormal"/>
    <w:uiPriority w:val="39"/>
    <w:rsid w:val="005A6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A618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220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610"/>
    <w:rPr>
      <w:rFonts w:ascii="Segoe UI" w:hAnsi="Segoe UI" w:cs="Segoe UI"/>
      <w:sz w:val="18"/>
      <w:szCs w:val="18"/>
    </w:rPr>
  </w:style>
  <w:style w:type="character" w:styleId="CommentReference">
    <w:name w:val="annotation reference"/>
    <w:basedOn w:val="DefaultParagraphFont"/>
    <w:uiPriority w:val="99"/>
    <w:semiHidden/>
    <w:unhideWhenUsed/>
    <w:rsid w:val="003B2FEC"/>
    <w:rPr>
      <w:sz w:val="16"/>
      <w:szCs w:val="16"/>
    </w:rPr>
  </w:style>
  <w:style w:type="paragraph" w:styleId="CommentText">
    <w:name w:val="annotation text"/>
    <w:basedOn w:val="Normal"/>
    <w:link w:val="CommentTextChar"/>
    <w:uiPriority w:val="99"/>
    <w:semiHidden/>
    <w:unhideWhenUsed/>
    <w:rsid w:val="003B2FEC"/>
    <w:pPr>
      <w:spacing w:line="240" w:lineRule="auto"/>
    </w:pPr>
    <w:rPr>
      <w:sz w:val="20"/>
      <w:szCs w:val="20"/>
    </w:rPr>
  </w:style>
  <w:style w:type="character" w:customStyle="1" w:styleId="CommentTextChar">
    <w:name w:val="Comment Text Char"/>
    <w:basedOn w:val="DefaultParagraphFont"/>
    <w:link w:val="CommentText"/>
    <w:uiPriority w:val="99"/>
    <w:semiHidden/>
    <w:rsid w:val="003B2FEC"/>
    <w:rPr>
      <w:sz w:val="20"/>
      <w:szCs w:val="20"/>
    </w:rPr>
  </w:style>
  <w:style w:type="paragraph" w:styleId="CommentSubject">
    <w:name w:val="annotation subject"/>
    <w:basedOn w:val="CommentText"/>
    <w:next w:val="CommentText"/>
    <w:link w:val="CommentSubjectChar"/>
    <w:uiPriority w:val="99"/>
    <w:semiHidden/>
    <w:unhideWhenUsed/>
    <w:rsid w:val="003B2FEC"/>
    <w:rPr>
      <w:b/>
      <w:bCs/>
    </w:rPr>
  </w:style>
  <w:style w:type="character" w:customStyle="1" w:styleId="CommentSubjectChar">
    <w:name w:val="Comment Subject Char"/>
    <w:basedOn w:val="CommentTextChar"/>
    <w:link w:val="CommentSubject"/>
    <w:uiPriority w:val="99"/>
    <w:semiHidden/>
    <w:rsid w:val="003B2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4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694CC-C78E-451D-96BE-8357C3DC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5842</Words>
  <Characters>3330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Ministru kabineta rīkojuma projekta „Par valsts akciju sabiedrības “Latvijas Valsts radio un televīzijas centrs” vispārējo stratēģisko mērķi</vt:lpstr>
    </vt:vector>
  </TitlesOfParts>
  <Company>Satiksmes ministrija</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„Par valsts akciju sabiedrības “Latvijas Valsts radio un televīzijas centrs” vispārējo stratēģisko mērķi</dc:title>
  <dc:subject>anotācija</dc:subject>
  <dc:creator>Irisa.Kalnina@sam.gov.lv</dc:creator>
  <dc:description>Linda.Puce@sam.gov.lv_x000d_
67028237</dc:description>
  <cp:lastModifiedBy>Īrisa Kalniņa</cp:lastModifiedBy>
  <cp:revision>12</cp:revision>
  <dcterms:created xsi:type="dcterms:W3CDTF">2020-06-17T11:10:00Z</dcterms:created>
  <dcterms:modified xsi:type="dcterms:W3CDTF">2020-08-24T09:14:00Z</dcterms:modified>
</cp:coreProperties>
</file>