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144D4" w14:textId="3A52BBF4" w:rsidR="007C5A7F" w:rsidRPr="000701E8" w:rsidRDefault="007C5A7F" w:rsidP="007C5A7F">
      <w:pPr>
        <w:shd w:val="clear" w:color="auto" w:fill="FFFFFF"/>
        <w:jc w:val="center"/>
        <w:rPr>
          <w:b/>
          <w:bCs/>
        </w:rPr>
      </w:pPr>
      <w:bookmarkStart w:id="0" w:name="_Hlk38293856"/>
      <w:r w:rsidRPr="000701E8">
        <w:rPr>
          <w:rFonts w:eastAsia="Calibri"/>
          <w:b/>
        </w:rPr>
        <w:t>Ministru kabineta noteikumu projekta “</w:t>
      </w:r>
      <w:bookmarkStart w:id="1" w:name="_Hlk36817639"/>
      <w:bookmarkStart w:id="2" w:name="_Hlk532463190"/>
      <w:r w:rsidRPr="000701E8">
        <w:rPr>
          <w:rFonts w:eastAsia="Calibri"/>
          <w:b/>
        </w:rPr>
        <w:t>Grozījum</w:t>
      </w:r>
      <w:r w:rsidR="00150C57">
        <w:rPr>
          <w:rFonts w:eastAsia="Calibri"/>
          <w:b/>
        </w:rPr>
        <w:t>i</w:t>
      </w:r>
      <w:r w:rsidRPr="000701E8">
        <w:rPr>
          <w:rFonts w:eastAsia="Calibri"/>
          <w:b/>
        </w:rPr>
        <w:t xml:space="preserve"> Ministru kabineta 2016.gada 21.jūnija noteikumos Nr.404 “Darbības programmas “Izaugsme un nodarbinātība” 6.2.1. specifiskā atbalsta mērķa </w:t>
      </w:r>
      <w:r w:rsidR="001661C7">
        <w:rPr>
          <w:rFonts w:eastAsia="Calibri"/>
          <w:b/>
        </w:rPr>
        <w:t>“</w:t>
      </w:r>
      <w:r w:rsidRPr="000701E8">
        <w:rPr>
          <w:rFonts w:eastAsia="Calibri"/>
          <w:b/>
        </w:rPr>
        <w:t xml:space="preserve">Nodrošināt konkurētspējīgu un videi draudzīgu TEN-T dzelzceļa tīklu, veicinot tā drošību, kvalitāti un kapacitāti” 6.2.1.2. pasākuma </w:t>
      </w:r>
      <w:r w:rsidR="001661C7">
        <w:rPr>
          <w:rFonts w:eastAsia="Calibri"/>
          <w:b/>
        </w:rPr>
        <w:t>“</w:t>
      </w:r>
      <w:r w:rsidRPr="000701E8">
        <w:rPr>
          <w:rFonts w:eastAsia="Calibri"/>
          <w:b/>
        </w:rPr>
        <w:t>Dzelzceļa infrastruktūras modernizācija un izbūve” īstenošanas noteikumi</w:t>
      </w:r>
      <w:bookmarkEnd w:id="1"/>
      <w:r w:rsidRPr="000701E8">
        <w:rPr>
          <w:rFonts w:eastAsia="Calibri"/>
          <w:b/>
          <w:lang w:eastAsia="en-US"/>
        </w:rPr>
        <w:t>”</w:t>
      </w:r>
      <w:bookmarkEnd w:id="2"/>
      <w:r w:rsidRPr="000701E8">
        <w:rPr>
          <w:rFonts w:eastAsia="Calibri"/>
          <w:b/>
          <w:lang w:eastAsia="en-US"/>
        </w:rPr>
        <w:t>”</w:t>
      </w:r>
      <w:r w:rsidRPr="000701E8">
        <w:rPr>
          <w:b/>
          <w:bCs/>
        </w:rPr>
        <w:t xml:space="preserve"> </w:t>
      </w:r>
      <w:r w:rsidRPr="000701E8">
        <w:rPr>
          <w:b/>
          <w:bCs/>
        </w:rPr>
        <w:br/>
        <w:t>sākotnējās ietekmes novērtējuma ziņojums (anotācija</w:t>
      </w:r>
      <w:bookmarkEnd w:id="0"/>
      <w:r w:rsidRPr="000701E8">
        <w:rPr>
          <w:b/>
          <w:bCs/>
        </w:rPr>
        <w:t>)</w:t>
      </w:r>
    </w:p>
    <w:p w14:paraId="692A6728" w14:textId="77777777" w:rsidR="007C5A7F" w:rsidRPr="000701E8" w:rsidRDefault="007C5A7F" w:rsidP="007C5A7F">
      <w:pPr>
        <w:shd w:val="clear" w:color="auto" w:fill="FFFFFF"/>
        <w:jc w:val="center"/>
        <w:rPr>
          <w:b/>
          <w:bCs/>
          <w:sz w:val="28"/>
        </w:rPr>
      </w:pPr>
    </w:p>
    <w:tbl>
      <w:tblPr>
        <w:tblW w:w="52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395"/>
        <w:gridCol w:w="6295"/>
      </w:tblGrid>
      <w:tr w:rsidR="000701E8" w:rsidRPr="000701E8" w14:paraId="7C2A6230" w14:textId="77777777" w:rsidTr="00196DBA">
        <w:trPr>
          <w:tblCellSpacing w:w="15" w:type="dxa"/>
        </w:trPr>
        <w:tc>
          <w:tcPr>
            <w:tcW w:w="4965" w:type="pct"/>
            <w:gridSpan w:val="2"/>
            <w:tcBorders>
              <w:top w:val="outset" w:sz="6" w:space="0" w:color="auto"/>
              <w:left w:val="outset" w:sz="6" w:space="0" w:color="auto"/>
              <w:bottom w:val="outset" w:sz="6" w:space="0" w:color="auto"/>
              <w:right w:val="outset" w:sz="6" w:space="0" w:color="auto"/>
            </w:tcBorders>
            <w:vAlign w:val="center"/>
            <w:hideMark/>
          </w:tcPr>
          <w:p w14:paraId="1AC46A30" w14:textId="77777777" w:rsidR="007C5A7F" w:rsidRPr="000701E8" w:rsidRDefault="007C5A7F" w:rsidP="007C5A7F">
            <w:pPr>
              <w:rPr>
                <w:b/>
                <w:bCs/>
                <w:iCs/>
              </w:rPr>
            </w:pPr>
            <w:r w:rsidRPr="000701E8">
              <w:rPr>
                <w:b/>
                <w:bCs/>
                <w:iCs/>
              </w:rPr>
              <w:t>Tiesību akta projekta anotācijas kopsavilkums</w:t>
            </w:r>
          </w:p>
        </w:tc>
      </w:tr>
      <w:tr w:rsidR="000701E8" w:rsidRPr="000701E8" w14:paraId="0516B8F4" w14:textId="77777777" w:rsidTr="005C0EB7">
        <w:trPr>
          <w:trHeight w:val="3494"/>
          <w:tblCellSpacing w:w="15" w:type="dxa"/>
        </w:trPr>
        <w:tc>
          <w:tcPr>
            <w:tcW w:w="1356" w:type="pct"/>
            <w:tcBorders>
              <w:top w:val="outset" w:sz="6" w:space="0" w:color="auto"/>
              <w:left w:val="outset" w:sz="6" w:space="0" w:color="auto"/>
              <w:bottom w:val="outset" w:sz="6" w:space="0" w:color="auto"/>
              <w:right w:val="outset" w:sz="6" w:space="0" w:color="auto"/>
            </w:tcBorders>
            <w:hideMark/>
          </w:tcPr>
          <w:p w14:paraId="0105D8D5" w14:textId="603B7854" w:rsidR="007C5A7F" w:rsidRPr="000701E8" w:rsidRDefault="007C5A7F" w:rsidP="007C5A7F">
            <w:pPr>
              <w:rPr>
                <w:iCs/>
              </w:rPr>
            </w:pPr>
            <w:r w:rsidRPr="000701E8">
              <w:rPr>
                <w:iCs/>
              </w:rPr>
              <w:t xml:space="preserve">Mērķis, risinājums un projekta spēkā stāšanās laiks </w:t>
            </w:r>
          </w:p>
        </w:tc>
        <w:tc>
          <w:tcPr>
            <w:tcW w:w="3592" w:type="pct"/>
            <w:tcBorders>
              <w:top w:val="outset" w:sz="6" w:space="0" w:color="auto"/>
              <w:left w:val="outset" w:sz="6" w:space="0" w:color="auto"/>
              <w:bottom w:val="outset" w:sz="6" w:space="0" w:color="auto"/>
              <w:right w:val="outset" w:sz="6" w:space="0" w:color="auto"/>
            </w:tcBorders>
            <w:hideMark/>
          </w:tcPr>
          <w:p w14:paraId="585C0D90" w14:textId="3CC035DB" w:rsidR="007C5A7F" w:rsidRPr="000701E8" w:rsidRDefault="007C5A7F" w:rsidP="007C5A7F">
            <w:pPr>
              <w:jc w:val="both"/>
              <w:rPr>
                <w:iCs/>
              </w:rPr>
            </w:pPr>
            <w:r w:rsidRPr="000701E8">
              <w:rPr>
                <w:iCs/>
              </w:rPr>
              <w:t xml:space="preserve">Ministru kabineta (turpmāk – MK) noteikumu projekts sagatavots ar mērķi precizēt darbības programmas “Izaugsme un nodarbinātība” </w:t>
            </w:r>
            <w:r w:rsidR="001B7DAC">
              <w:rPr>
                <w:iCs/>
              </w:rPr>
              <w:t xml:space="preserve">(turpmāk – darbības programma) </w:t>
            </w:r>
            <w:r w:rsidRPr="000701E8">
              <w:rPr>
                <w:iCs/>
              </w:rPr>
              <w:t xml:space="preserve">6.2.1. specifiskā atbalsta mērķa </w:t>
            </w:r>
            <w:r w:rsidR="000E55F7">
              <w:rPr>
                <w:iCs/>
              </w:rPr>
              <w:t>“</w:t>
            </w:r>
            <w:r w:rsidRPr="000701E8">
              <w:rPr>
                <w:iCs/>
              </w:rPr>
              <w:t xml:space="preserve">Nodrošināt konkurētspējīgu un videi draudzīgu TEN-T dzelzceļa tīklu, veicinot tā drošību, kvalitāti un kapacitāti” 6.2.1.2. pasākuma </w:t>
            </w:r>
            <w:r w:rsidR="000E55F7">
              <w:rPr>
                <w:iCs/>
              </w:rPr>
              <w:t>“</w:t>
            </w:r>
            <w:r w:rsidRPr="000701E8">
              <w:rPr>
                <w:iCs/>
              </w:rPr>
              <w:t>Dzelzceļa infrastruktūras modernizācija un izbūve” (turpmāk</w:t>
            </w:r>
            <w:r w:rsidR="000701E8">
              <w:rPr>
                <w:iCs/>
              </w:rPr>
              <w:t xml:space="preserve"> – </w:t>
            </w:r>
            <w:r w:rsidRPr="000701E8">
              <w:rPr>
                <w:iCs/>
              </w:rPr>
              <w:t xml:space="preserve"> 6.2.1.2.pasākums) īstenošanas nosacījumus, </w:t>
            </w:r>
            <w:r w:rsidR="000874CF">
              <w:rPr>
                <w:iCs/>
              </w:rPr>
              <w:t>palielinot</w:t>
            </w:r>
            <w:r w:rsidR="00C03DE6">
              <w:rPr>
                <w:iCs/>
              </w:rPr>
              <w:t xml:space="preserve"> </w:t>
            </w:r>
            <w:r w:rsidRPr="000701E8">
              <w:rPr>
                <w:iCs/>
              </w:rPr>
              <w:t>6.2.1.2.pasākumam pieejamo kopējo attiecināmo finansējumu, tai skaitā  Kohēzijas fonda finansējumu un privāto finansējumu</w:t>
            </w:r>
            <w:r w:rsidR="00C03DE6">
              <w:rPr>
                <w:iCs/>
              </w:rPr>
              <w:t>,</w:t>
            </w:r>
            <w:r w:rsidR="00CC360B">
              <w:rPr>
                <w:iCs/>
              </w:rPr>
              <w:t xml:space="preserve"> paredzot valsts budžeta finansējumu, </w:t>
            </w:r>
            <w:r w:rsidR="00C03DE6">
              <w:rPr>
                <w:iCs/>
              </w:rPr>
              <w:t>kā arī</w:t>
            </w:r>
            <w:r w:rsidR="000874CF">
              <w:rPr>
                <w:iCs/>
              </w:rPr>
              <w:t xml:space="preserve"> iekļaujot jaunas atbalstāmās darbības.</w:t>
            </w:r>
          </w:p>
          <w:p w14:paraId="1D4BEED9" w14:textId="77777777" w:rsidR="007C5A7F" w:rsidRPr="000701E8" w:rsidRDefault="007C5A7F" w:rsidP="007C5A7F">
            <w:pPr>
              <w:spacing w:after="160" w:line="259" w:lineRule="auto"/>
              <w:jc w:val="both"/>
              <w:rPr>
                <w:iCs/>
              </w:rPr>
            </w:pPr>
            <w:r w:rsidRPr="000701E8">
              <w:rPr>
                <w:iCs/>
              </w:rPr>
              <w:t>MK noteikumu projekts stājas spēkā nākamajā dienā pēc tā izsludināšanas oficiālajā izdevumā “Latvijas Vēstnesis”.</w:t>
            </w:r>
          </w:p>
        </w:tc>
      </w:tr>
    </w:tbl>
    <w:p w14:paraId="53C20C02" w14:textId="77777777" w:rsidR="007C5A7F" w:rsidRPr="000701E8" w:rsidRDefault="007C5A7F" w:rsidP="007C5A7F">
      <w:pPr>
        <w:rPr>
          <w:iCs/>
        </w:rPr>
      </w:pPr>
      <w:r w:rsidRPr="000701E8">
        <w:rPr>
          <w:iCs/>
        </w:rPr>
        <w:t xml:space="preserve">  </w:t>
      </w:r>
    </w:p>
    <w:tbl>
      <w:tblPr>
        <w:tblW w:w="52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1"/>
        <w:gridCol w:w="1864"/>
        <w:gridCol w:w="6305"/>
      </w:tblGrid>
      <w:tr w:rsidR="000701E8" w:rsidRPr="000701E8" w14:paraId="5B3DD7EF" w14:textId="77777777" w:rsidTr="00196DBA">
        <w:trPr>
          <w:tblCellSpacing w:w="15" w:type="dxa"/>
        </w:trPr>
        <w:tc>
          <w:tcPr>
            <w:tcW w:w="4965" w:type="pct"/>
            <w:gridSpan w:val="3"/>
            <w:tcBorders>
              <w:top w:val="outset" w:sz="6" w:space="0" w:color="auto"/>
              <w:left w:val="outset" w:sz="6" w:space="0" w:color="auto"/>
              <w:bottom w:val="outset" w:sz="6" w:space="0" w:color="auto"/>
              <w:right w:val="outset" w:sz="6" w:space="0" w:color="auto"/>
            </w:tcBorders>
            <w:vAlign w:val="center"/>
            <w:hideMark/>
          </w:tcPr>
          <w:p w14:paraId="56537860" w14:textId="77777777" w:rsidR="007C5A7F" w:rsidRPr="000701E8" w:rsidRDefault="007C5A7F" w:rsidP="007C5A7F">
            <w:pPr>
              <w:rPr>
                <w:b/>
                <w:bCs/>
                <w:iCs/>
              </w:rPr>
            </w:pPr>
            <w:r w:rsidRPr="000701E8">
              <w:rPr>
                <w:b/>
                <w:bCs/>
                <w:iCs/>
              </w:rPr>
              <w:t>I. Tiesību akta projekta izstrādes nepieciešamība</w:t>
            </w:r>
          </w:p>
        </w:tc>
      </w:tr>
      <w:tr w:rsidR="000701E8" w:rsidRPr="000701E8" w14:paraId="43872EA6" w14:textId="77777777" w:rsidTr="005C0EB7">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6E91DC97" w14:textId="77777777" w:rsidR="007C5A7F" w:rsidRPr="000701E8" w:rsidRDefault="007C5A7F" w:rsidP="007C5A7F">
            <w:pPr>
              <w:rPr>
                <w:iCs/>
              </w:rPr>
            </w:pPr>
            <w:r w:rsidRPr="000701E8">
              <w:rPr>
                <w:iCs/>
              </w:rPr>
              <w:t>1.</w:t>
            </w:r>
          </w:p>
        </w:tc>
        <w:tc>
          <w:tcPr>
            <w:tcW w:w="1063" w:type="pct"/>
            <w:tcBorders>
              <w:top w:val="outset" w:sz="6" w:space="0" w:color="auto"/>
              <w:left w:val="outset" w:sz="6" w:space="0" w:color="auto"/>
              <w:bottom w:val="outset" w:sz="6" w:space="0" w:color="auto"/>
              <w:right w:val="outset" w:sz="6" w:space="0" w:color="auto"/>
            </w:tcBorders>
            <w:hideMark/>
          </w:tcPr>
          <w:p w14:paraId="6CC874DB" w14:textId="77777777" w:rsidR="007C5A7F" w:rsidRPr="000701E8" w:rsidRDefault="007C5A7F" w:rsidP="007C5A7F">
            <w:pPr>
              <w:rPr>
                <w:iCs/>
              </w:rPr>
            </w:pPr>
            <w:r w:rsidRPr="000701E8">
              <w:rPr>
                <w:iCs/>
              </w:rPr>
              <w:t>Pamatojums</w:t>
            </w:r>
          </w:p>
        </w:tc>
        <w:tc>
          <w:tcPr>
            <w:tcW w:w="3592" w:type="pct"/>
            <w:tcBorders>
              <w:top w:val="outset" w:sz="6" w:space="0" w:color="auto"/>
              <w:left w:val="outset" w:sz="6" w:space="0" w:color="auto"/>
              <w:bottom w:val="outset" w:sz="6" w:space="0" w:color="auto"/>
              <w:right w:val="outset" w:sz="6" w:space="0" w:color="auto"/>
            </w:tcBorders>
            <w:hideMark/>
          </w:tcPr>
          <w:p w14:paraId="6137D3E4" w14:textId="77777777" w:rsidR="007C5A7F" w:rsidRPr="000701E8" w:rsidRDefault="007C5A7F" w:rsidP="007C5A7F">
            <w:pPr>
              <w:jc w:val="both"/>
              <w:rPr>
                <w:iCs/>
              </w:rPr>
            </w:pPr>
            <w:r w:rsidRPr="000701E8">
              <w:rPr>
                <w:iCs/>
              </w:rPr>
              <w:t>Eiropas Savienības struktūrfondu un Kohēzijas fonda 2014.-2020.gada plānošanas perioda vadības likuma 20.panta 6. un 13.punkts.</w:t>
            </w:r>
          </w:p>
          <w:p w14:paraId="70439E75" w14:textId="235F2B5C" w:rsidR="0098763D" w:rsidRPr="007B6513" w:rsidRDefault="0098763D" w:rsidP="00F7738F">
            <w:pPr>
              <w:jc w:val="both"/>
            </w:pPr>
            <w:r w:rsidRPr="009E5505">
              <w:t>MK</w:t>
            </w:r>
            <w:r w:rsidRPr="007B6513">
              <w:t xml:space="preserve"> 2020.gada </w:t>
            </w:r>
            <w:r w:rsidR="003B5556" w:rsidRPr="007B6513">
              <w:t>19</w:t>
            </w:r>
            <w:r w:rsidRPr="007B6513">
              <w:t>.</w:t>
            </w:r>
            <w:r w:rsidR="00331B65">
              <w:t>ma</w:t>
            </w:r>
            <w:r w:rsidRPr="007B6513">
              <w:t>ija sēdes protokollēmuma</w:t>
            </w:r>
            <w:r w:rsidRPr="007B6513">
              <w:rPr>
                <w:rStyle w:val="FootnoteReference"/>
              </w:rPr>
              <w:footnoteReference w:id="1"/>
            </w:r>
            <w:r w:rsidRPr="007B6513">
              <w:t xml:space="preserve">  </w:t>
            </w:r>
            <w:r w:rsidR="009E5505" w:rsidRPr="007B6513">
              <w:rPr>
                <w:lang w:eastAsia="en-US"/>
              </w:rPr>
              <w:t>(prot. Nr.</w:t>
            </w:r>
            <w:r w:rsidR="009E5505">
              <w:rPr>
                <w:lang w:eastAsia="en-US"/>
              </w:rPr>
              <w:t>3</w:t>
            </w:r>
            <w:r w:rsidR="009E5505" w:rsidRPr="007B6513">
              <w:rPr>
                <w:lang w:eastAsia="en-US"/>
              </w:rPr>
              <w:t>4,</w:t>
            </w:r>
            <w:r w:rsidR="009E5505" w:rsidRPr="006F614C">
              <w:rPr>
                <w:lang w:eastAsia="en-US"/>
              </w:rPr>
              <w:t xml:space="preserve"> </w:t>
            </w:r>
            <w:r w:rsidR="009E5505">
              <w:rPr>
                <w:lang w:eastAsia="en-US"/>
              </w:rPr>
              <w:t>33</w:t>
            </w:r>
            <w:r w:rsidR="009E5505" w:rsidRPr="006F614C">
              <w:rPr>
                <w:lang w:eastAsia="en-US"/>
              </w:rPr>
              <w:t>.§)</w:t>
            </w:r>
            <w:r w:rsidR="009E5505">
              <w:rPr>
                <w:lang w:eastAsia="en-US"/>
              </w:rPr>
              <w:t xml:space="preserve"> </w:t>
            </w:r>
            <w:r w:rsidRPr="007B6513">
              <w:t>2. un 4.punkt</w:t>
            </w:r>
            <w:r w:rsidR="00F7738F" w:rsidRPr="007B6513">
              <w:t>s</w:t>
            </w:r>
            <w:r w:rsidRPr="007B6513">
              <w:t>.</w:t>
            </w:r>
          </w:p>
          <w:p w14:paraId="72626344" w14:textId="670473C4" w:rsidR="007C5A7F" w:rsidRPr="000701E8" w:rsidRDefault="00AD077B" w:rsidP="009E5505">
            <w:pPr>
              <w:jc w:val="both"/>
              <w:rPr>
                <w:iCs/>
              </w:rPr>
            </w:pPr>
            <w:r w:rsidRPr="007B6513">
              <w:rPr>
                <w:lang w:eastAsia="en-US"/>
              </w:rPr>
              <w:t>MK 2020.gada 30</w:t>
            </w:r>
            <w:r w:rsidRPr="008637F4">
              <w:rPr>
                <w:lang w:eastAsia="en-US"/>
              </w:rPr>
              <w:t xml:space="preserve">.jūnija sēdes </w:t>
            </w:r>
            <w:r w:rsidRPr="009553F7">
              <w:rPr>
                <w:lang w:eastAsia="en-US"/>
              </w:rPr>
              <w:t>protokollēmuma</w:t>
            </w:r>
            <w:r w:rsidRPr="007B6513">
              <w:rPr>
                <w:rStyle w:val="FootnoteReference"/>
                <w:lang w:eastAsia="en-US"/>
              </w:rPr>
              <w:footnoteReference w:id="2"/>
            </w:r>
            <w:r w:rsidRPr="007B6513">
              <w:rPr>
                <w:lang w:eastAsia="en-US"/>
              </w:rPr>
              <w:t xml:space="preserve"> (prot. Nr.42,</w:t>
            </w:r>
            <w:r w:rsidRPr="006F614C">
              <w:rPr>
                <w:lang w:eastAsia="en-US"/>
              </w:rPr>
              <w:t xml:space="preserve"> </w:t>
            </w:r>
            <w:r>
              <w:rPr>
                <w:lang w:eastAsia="en-US"/>
              </w:rPr>
              <w:t>59</w:t>
            </w:r>
            <w:r w:rsidRPr="006F614C">
              <w:rPr>
                <w:lang w:eastAsia="en-US"/>
              </w:rPr>
              <w:t>.§)</w:t>
            </w:r>
            <w:r>
              <w:rPr>
                <w:lang w:eastAsia="en-US"/>
              </w:rPr>
              <w:t xml:space="preserve"> 2.punkts.</w:t>
            </w:r>
          </w:p>
        </w:tc>
      </w:tr>
      <w:tr w:rsidR="000701E8" w:rsidRPr="000701E8" w14:paraId="699F151D" w14:textId="77777777" w:rsidTr="005C0EB7">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34157564" w14:textId="77777777" w:rsidR="007C5A7F" w:rsidRPr="000701E8" w:rsidRDefault="007C5A7F" w:rsidP="007C5A7F">
            <w:pPr>
              <w:rPr>
                <w:iCs/>
              </w:rPr>
            </w:pPr>
            <w:r w:rsidRPr="000701E8">
              <w:rPr>
                <w:iCs/>
              </w:rPr>
              <w:t>2.</w:t>
            </w:r>
          </w:p>
        </w:tc>
        <w:tc>
          <w:tcPr>
            <w:tcW w:w="1063" w:type="pct"/>
            <w:tcBorders>
              <w:top w:val="outset" w:sz="6" w:space="0" w:color="auto"/>
              <w:left w:val="outset" w:sz="6" w:space="0" w:color="auto"/>
              <w:bottom w:val="outset" w:sz="6" w:space="0" w:color="auto"/>
              <w:right w:val="outset" w:sz="6" w:space="0" w:color="auto"/>
            </w:tcBorders>
            <w:hideMark/>
          </w:tcPr>
          <w:p w14:paraId="36454410" w14:textId="77777777" w:rsidR="007C5A7F" w:rsidRPr="000701E8" w:rsidRDefault="007C5A7F" w:rsidP="007C5A7F">
            <w:pPr>
              <w:rPr>
                <w:iCs/>
              </w:rPr>
            </w:pPr>
            <w:r w:rsidRPr="000701E8">
              <w:rPr>
                <w:iCs/>
              </w:rPr>
              <w:t>Pašreizējā situācija un problēmas, kuru risināšanai tiesību akta projekts izstrādāts, tiesiskā regulējuma mērķis un būtība</w:t>
            </w:r>
          </w:p>
          <w:p w14:paraId="1A50DF46" w14:textId="77777777" w:rsidR="007C5A7F" w:rsidRPr="000701E8" w:rsidRDefault="007C5A7F" w:rsidP="007C5A7F">
            <w:pPr>
              <w:spacing w:after="160" w:line="259" w:lineRule="auto"/>
            </w:pPr>
          </w:p>
          <w:p w14:paraId="2B924285" w14:textId="77777777" w:rsidR="007C5A7F" w:rsidRPr="000701E8" w:rsidRDefault="007C5A7F" w:rsidP="007C5A7F">
            <w:pPr>
              <w:spacing w:after="160" w:line="259" w:lineRule="auto"/>
            </w:pPr>
          </w:p>
          <w:p w14:paraId="250EA3BD" w14:textId="77777777" w:rsidR="007C5A7F" w:rsidRPr="000701E8" w:rsidRDefault="007C5A7F" w:rsidP="007C5A7F">
            <w:pPr>
              <w:spacing w:after="160" w:line="259" w:lineRule="auto"/>
            </w:pPr>
          </w:p>
          <w:p w14:paraId="3DAC3EB6" w14:textId="77777777" w:rsidR="007C5A7F" w:rsidRPr="000701E8" w:rsidRDefault="007C5A7F" w:rsidP="007C5A7F">
            <w:pPr>
              <w:spacing w:after="160" w:line="259" w:lineRule="auto"/>
            </w:pPr>
          </w:p>
          <w:p w14:paraId="13EE96AD" w14:textId="77777777" w:rsidR="007C5A7F" w:rsidRPr="000701E8" w:rsidRDefault="007C5A7F" w:rsidP="007C5A7F">
            <w:pPr>
              <w:spacing w:after="160" w:line="259" w:lineRule="auto"/>
            </w:pPr>
          </w:p>
          <w:p w14:paraId="4317140F" w14:textId="77777777" w:rsidR="007C5A7F" w:rsidRPr="000701E8" w:rsidRDefault="007C5A7F" w:rsidP="007C5A7F">
            <w:pPr>
              <w:spacing w:after="160" w:line="259" w:lineRule="auto"/>
            </w:pPr>
          </w:p>
          <w:p w14:paraId="6769598A" w14:textId="77777777" w:rsidR="007C5A7F" w:rsidRPr="000701E8" w:rsidRDefault="007C5A7F" w:rsidP="007C5A7F">
            <w:pPr>
              <w:tabs>
                <w:tab w:val="left" w:pos="990"/>
              </w:tabs>
              <w:spacing w:after="160" w:line="259" w:lineRule="auto"/>
              <w:rPr>
                <w:iCs/>
              </w:rPr>
            </w:pPr>
            <w:r w:rsidRPr="000701E8">
              <w:rPr>
                <w:iCs/>
              </w:rPr>
              <w:tab/>
            </w:r>
          </w:p>
          <w:p w14:paraId="4F9CF805" w14:textId="77777777" w:rsidR="007C5A7F" w:rsidRPr="000701E8" w:rsidRDefault="007C5A7F" w:rsidP="007C5A7F">
            <w:pPr>
              <w:tabs>
                <w:tab w:val="left" w:pos="990"/>
              </w:tabs>
              <w:spacing w:after="160" w:line="259" w:lineRule="auto"/>
            </w:pPr>
            <w:r w:rsidRPr="000701E8">
              <w:tab/>
            </w:r>
          </w:p>
        </w:tc>
        <w:tc>
          <w:tcPr>
            <w:tcW w:w="3592" w:type="pct"/>
            <w:tcBorders>
              <w:top w:val="outset" w:sz="6" w:space="0" w:color="auto"/>
              <w:left w:val="outset" w:sz="6" w:space="0" w:color="auto"/>
              <w:bottom w:val="outset" w:sz="6" w:space="0" w:color="auto"/>
              <w:right w:val="outset" w:sz="6" w:space="0" w:color="auto"/>
            </w:tcBorders>
            <w:hideMark/>
          </w:tcPr>
          <w:p w14:paraId="5E20662A" w14:textId="5A1DE0B5" w:rsidR="0067724E" w:rsidRPr="0037048F" w:rsidRDefault="0067724E" w:rsidP="0067724E">
            <w:pPr>
              <w:spacing w:line="259" w:lineRule="auto"/>
              <w:jc w:val="both"/>
            </w:pPr>
            <w:r>
              <w:lastRenderedPageBreak/>
              <w:t xml:space="preserve">MK 2020.gada 19.maija sēdē tika izskatīts Finanšu </w:t>
            </w:r>
            <w:r w:rsidRPr="00A94B18">
              <w:t xml:space="preserve">ministrijas </w:t>
            </w:r>
            <w:r>
              <w:t xml:space="preserve">(turpmāk – FM) </w:t>
            </w:r>
            <w:r w:rsidRPr="00A94B18">
              <w:t>informatīva</w:t>
            </w:r>
            <w:r>
              <w:t>is</w:t>
            </w:r>
            <w:r w:rsidRPr="00A94B18">
              <w:t xml:space="preserve"> ziņojum</w:t>
            </w:r>
            <w:r>
              <w:t>s</w:t>
            </w:r>
            <w:r w:rsidRPr="00A94B18">
              <w:t xml:space="preserve"> </w:t>
            </w:r>
            <w:r w:rsidR="00682BB3">
              <w:t>“</w:t>
            </w:r>
            <w:r w:rsidRPr="00BA0109">
              <w:t>Par Eiropas Savienības struktūrfondu un Kohēzijas fonda finansējuma pārdalēm un risinājumiem COVID-19 seku mazināšanai</w:t>
            </w:r>
            <w:r w:rsidR="00682BB3">
              <w:t>”</w:t>
            </w:r>
            <w:r>
              <w:t xml:space="preserve"> (turpmāk – informatīvais ziņojums), kas paredz Eiropas Savienības </w:t>
            </w:r>
            <w:r w:rsidRPr="0037048F">
              <w:t xml:space="preserve">struktūrfondu un Kohēzijas fonda (turpmāk kopā saukti – ES fondi) </w:t>
            </w:r>
            <w:r w:rsidRPr="00D13367">
              <w:t>finansējuma pārstrukturizāciju</w:t>
            </w:r>
            <w:r w:rsidRPr="00F53CD3">
              <w:t xml:space="preserve"> un </w:t>
            </w:r>
            <w:r w:rsidRPr="00C117EA">
              <w:t xml:space="preserve"> </w:t>
            </w:r>
            <w:r w:rsidRPr="00A80669">
              <w:t xml:space="preserve">pārdali, tādējādi </w:t>
            </w:r>
            <w:r w:rsidRPr="00A80669">
              <w:lastRenderedPageBreak/>
              <w:t xml:space="preserve">mazinot </w:t>
            </w:r>
            <w:r w:rsidRPr="006F3852">
              <w:t>COVID-19 krīzes radīto negatīvo ietekmi uz tautsaimniecību</w:t>
            </w:r>
            <w:r w:rsidRPr="003C4153">
              <w:t xml:space="preserve"> un veicinot ekonomikas atveseļošan</w:t>
            </w:r>
            <w:r w:rsidRPr="0037048F">
              <w:t>os.</w:t>
            </w:r>
          </w:p>
          <w:p w14:paraId="0CF570C1" w14:textId="7BD6E0FA" w:rsidR="00D13367" w:rsidRDefault="0067724E" w:rsidP="0067724E">
            <w:pPr>
              <w:spacing w:line="259" w:lineRule="auto"/>
              <w:jc w:val="both"/>
            </w:pPr>
            <w:r w:rsidRPr="0037048F">
              <w:t xml:space="preserve"> </w:t>
            </w:r>
            <w:r w:rsidR="0037048F">
              <w:t>P</w:t>
            </w:r>
            <w:r w:rsidR="003D572F" w:rsidRPr="0037048F">
              <w:t xml:space="preserve">apildus jau iepriekš ziņojumā aprakstītajiem priekšlikumiem 100,0 milj. </w:t>
            </w:r>
            <w:r w:rsidR="003D572F" w:rsidRPr="0037048F">
              <w:rPr>
                <w:i/>
              </w:rPr>
              <w:t>euro</w:t>
            </w:r>
            <w:r w:rsidR="003D572F" w:rsidRPr="0037048F">
              <w:t xml:space="preserve"> novirzīt ar COVID-19 ārkārtas situāciju saistītām investīcijām veselībai, izglītībai un uzņēmējdarbībai, </w:t>
            </w:r>
            <w:r w:rsidR="0037048F" w:rsidRPr="00787EBA">
              <w:t>Satiksmes ministrija (turpmāk – SM)</w:t>
            </w:r>
            <w:r w:rsidR="0037048F" w:rsidRPr="0037048F">
              <w:t xml:space="preserve">, </w:t>
            </w:r>
            <w:r w:rsidR="0037048F" w:rsidRPr="00787EBA">
              <w:t xml:space="preserve">pamatojoties uz </w:t>
            </w:r>
            <w:r w:rsidR="0037048F" w:rsidRPr="0037048F">
              <w:t xml:space="preserve">pārtrauktajiem </w:t>
            </w:r>
            <w:r w:rsidR="006A158A">
              <w:t xml:space="preserve">valsts akciju sabiedrības “Latvijas dzelzceļš” (turpmāk – </w:t>
            </w:r>
            <w:r w:rsidR="0037048F" w:rsidRPr="0037048F">
              <w:t>LDz</w:t>
            </w:r>
            <w:r w:rsidR="006A158A">
              <w:t>)</w:t>
            </w:r>
            <w:r w:rsidR="0037048F" w:rsidRPr="0037048F">
              <w:t xml:space="preserve"> infrastruktūras projektiem</w:t>
            </w:r>
            <w:r w:rsidR="0037048F" w:rsidRPr="0037048F">
              <w:rPr>
                <w:rStyle w:val="FootnoteReference"/>
              </w:rPr>
              <w:footnoteReference w:id="3"/>
            </w:r>
            <w:r w:rsidR="0037048F">
              <w:t xml:space="preserve">, </w:t>
            </w:r>
            <w:r w:rsidR="003D572F" w:rsidRPr="0037048F">
              <w:t>izstrādāj</w:t>
            </w:r>
            <w:r w:rsidR="00D13367">
              <w:t xml:space="preserve">a </w:t>
            </w:r>
            <w:r w:rsidR="003D572F" w:rsidRPr="0037048F">
              <w:t xml:space="preserve"> priekšlikumu alternatīviem projektiem transporta jomā </w:t>
            </w:r>
            <w:r w:rsidR="00C764EE">
              <w:t xml:space="preserve">novirzīt investīcijas </w:t>
            </w:r>
            <w:r w:rsidR="003D572F" w:rsidRPr="0037048F">
              <w:t xml:space="preserve">283,0 milj. </w:t>
            </w:r>
            <w:r w:rsidR="003D572F" w:rsidRPr="0037048F">
              <w:rPr>
                <w:i/>
              </w:rPr>
              <w:t>euro</w:t>
            </w:r>
            <w:r w:rsidR="003D572F" w:rsidRPr="0037048F">
              <w:t xml:space="preserve"> apmērā. Investīcijas efektīvos, augstas gatavības projektos ostu i</w:t>
            </w:r>
            <w:r w:rsidR="003D572F" w:rsidRPr="00D13367">
              <w:t>nfrastruktūrā, dzelzceļa infrastruktūrā, platjoslu infrastruktūrā, kā arī videi draudzīgā sabiedriskajā transportā ļaus ne tikai samazi</w:t>
            </w:r>
            <w:r w:rsidR="003D572F" w:rsidRPr="0037048F">
              <w:t>nāt transporta nozares ietekmi uz vidi, palielināt tās drošību un efektivitāti, bet arī pozitīvi ietekmēs nodarbinātību un ekonomisko aktivitāti saistītajās nozarēs</w:t>
            </w:r>
            <w:r w:rsidR="00D13367">
              <w:t>.</w:t>
            </w:r>
          </w:p>
          <w:p w14:paraId="54E68C50" w14:textId="28A98449" w:rsidR="00D13367" w:rsidRDefault="00D13367" w:rsidP="00D13367">
            <w:pPr>
              <w:spacing w:after="120"/>
              <w:jc w:val="both"/>
            </w:pPr>
            <w:r>
              <w:t>MK š.g. 30.jūnija sēdē tika pieņemts Finanšu ministrijas iesniegtais rīkojuma projekts “</w:t>
            </w:r>
            <w:r w:rsidRPr="00F84D46">
              <w:t xml:space="preserve">Grozījumi Eiropas Savienības struktūrfondu un Kohēzijas fonda 2014.-2020.gada plānošanas perioda darbības programmā </w:t>
            </w:r>
            <w:r>
              <w:t>“</w:t>
            </w:r>
            <w:r w:rsidRPr="00F84D46">
              <w:t>Izaugsme un nodarbinātība</w:t>
            </w:r>
            <w:r>
              <w:t xml:space="preserve">”” (turpmāk – MK rīkojuma projekts). MK rīkojuma projekta pielikumā ir iekļauti darbības programmas “Izaugsme un nodarbinātība” (turpmāk – darbības programma) grozījumi, kas paredz </w:t>
            </w:r>
            <w:r w:rsidRPr="00D4719E">
              <w:t>Eiropas Savienības struktūrfondu un Kohēzijas fonda (turpmāk – ES fondi)</w:t>
            </w:r>
            <w:r>
              <w:t xml:space="preserve"> finansējuma pārdales</w:t>
            </w:r>
            <w:r w:rsidRPr="009C37F4">
              <w:t xml:space="preserve"> </w:t>
            </w:r>
            <w:r w:rsidRPr="00245E67">
              <w:t>COVID-19 krīzes seku mazināšanai</w:t>
            </w:r>
            <w:r>
              <w:t xml:space="preserve">. </w:t>
            </w:r>
          </w:p>
          <w:p w14:paraId="55B739B2" w14:textId="13015AC2" w:rsidR="005A70A3" w:rsidRDefault="00D13367" w:rsidP="00C117EA">
            <w:pPr>
              <w:spacing w:after="120"/>
              <w:jc w:val="both"/>
            </w:pPr>
            <w:r>
              <w:t>Aps</w:t>
            </w:r>
            <w:r w:rsidR="00F53CD3">
              <w:t>t</w:t>
            </w:r>
            <w:r>
              <w:t>ipr</w:t>
            </w:r>
            <w:r w:rsidR="00F53CD3">
              <w:t>i</w:t>
            </w:r>
            <w:r>
              <w:t>nāto darbības programmas grozījumu rezultātā tiek piešķirts papildus Kohēzijas fonda finansējums</w:t>
            </w:r>
            <w:r w:rsidRPr="003E3D32">
              <w:t xml:space="preserve"> </w:t>
            </w:r>
            <w:r w:rsidRPr="007B3C85">
              <w:t>6.2.1. specifiskā atbalsta mērķ</w:t>
            </w:r>
            <w:r>
              <w:t>a</w:t>
            </w:r>
            <w:r w:rsidRPr="007B3C85">
              <w:t xml:space="preserve"> </w:t>
            </w:r>
            <w:r w:rsidR="005A70A3">
              <w:t>“</w:t>
            </w:r>
            <w:r w:rsidRPr="007B3C85">
              <w:t>Nodrošināt konkurētspējīgu un videi draudzīgu TEN-T dzelzceļa tīklu, veicinot tā drošību, kvalitāti un kapacitāti</w:t>
            </w:r>
            <w:r w:rsidR="005A70A3">
              <w:t>”</w:t>
            </w:r>
            <w:r w:rsidRPr="0067252D">
              <w:t xml:space="preserve"> </w:t>
            </w:r>
            <w:r>
              <w:t xml:space="preserve"> </w:t>
            </w:r>
            <w:r w:rsidRPr="0067252D">
              <w:t>ietvaros</w:t>
            </w:r>
            <w:r>
              <w:t xml:space="preserve">  plānotajiem dzelzceļa infrastruktūras modernizācijas projektiem, kas saistīti ar vilcienu kustības ātruma paaugstināšanu atsevišķās līnijās, drošības paaugstināšanu un pasažieru infrastruktūras modernizāciju  dzelzceļa infrastruktūras projektos, kā</w:t>
            </w:r>
            <w:r w:rsidR="00C117EA">
              <w:t xml:space="preserve"> rezultātā </w:t>
            </w:r>
            <w:r>
              <w:t xml:space="preserve"> </w:t>
            </w:r>
            <w:r w:rsidR="00F53CD3">
              <w:t>LD</w:t>
            </w:r>
            <w:r w:rsidR="00C117EA">
              <w:t xml:space="preserve">z </w:t>
            </w:r>
            <w:r>
              <w:t>pieejams Kohēzijas fonda finansējums 130 487 51</w:t>
            </w:r>
            <w:r w:rsidR="00941333">
              <w:t>8</w:t>
            </w:r>
            <w:r>
              <w:t xml:space="preserve"> </w:t>
            </w:r>
            <w:r w:rsidRPr="00563FBA">
              <w:rPr>
                <w:i/>
                <w:iCs/>
              </w:rPr>
              <w:t>euro</w:t>
            </w:r>
            <w:r>
              <w:t xml:space="preserve"> apmērā.</w:t>
            </w:r>
            <w:r w:rsidR="00941333">
              <w:t xml:space="preserve"> </w:t>
            </w:r>
          </w:p>
          <w:p w14:paraId="60724A88" w14:textId="77777777" w:rsidR="005A70A3" w:rsidRDefault="000874CF" w:rsidP="00C117EA">
            <w:pPr>
              <w:spacing w:after="120"/>
              <w:jc w:val="both"/>
              <w:rPr>
                <w:iCs/>
              </w:rPr>
            </w:pPr>
            <w:r w:rsidRPr="000874CF">
              <w:rPr>
                <w:iCs/>
              </w:rPr>
              <w:t>Pārtraucot projekt</w:t>
            </w:r>
            <w:r w:rsidR="006F3852">
              <w:rPr>
                <w:iCs/>
              </w:rPr>
              <w:t>a</w:t>
            </w:r>
            <w:r w:rsidRPr="000874CF">
              <w:rPr>
                <w:iCs/>
              </w:rPr>
              <w:t xml:space="preserve"> “Daugavpils pieņemšanas parka un tam piebraucamo ceļu attīstība” </w:t>
            </w:r>
            <w:r w:rsidR="006F3852">
              <w:rPr>
                <w:iCs/>
              </w:rPr>
              <w:t xml:space="preserve">īstenošanu </w:t>
            </w:r>
            <w:r w:rsidRPr="000874CF">
              <w:rPr>
                <w:iCs/>
              </w:rPr>
              <w:t>netiks sasniegt</w:t>
            </w:r>
            <w:r>
              <w:rPr>
                <w:iCs/>
              </w:rPr>
              <w:t>s</w:t>
            </w:r>
            <w:r w:rsidR="00A80669">
              <w:rPr>
                <w:iCs/>
              </w:rPr>
              <w:t xml:space="preserve"> </w:t>
            </w:r>
            <w:r w:rsidRPr="000874CF">
              <w:rPr>
                <w:iCs/>
              </w:rPr>
              <w:t>6.2.1.SAM noteikt</w:t>
            </w:r>
            <w:r>
              <w:rPr>
                <w:iCs/>
              </w:rPr>
              <w:t>ais</w:t>
            </w:r>
            <w:r w:rsidRPr="000874CF">
              <w:rPr>
                <w:iCs/>
              </w:rPr>
              <w:t xml:space="preserve"> rezultāta rādītāj</w:t>
            </w:r>
            <w:r>
              <w:rPr>
                <w:iCs/>
              </w:rPr>
              <w:t>s</w:t>
            </w:r>
            <w:r w:rsidRPr="000874CF">
              <w:rPr>
                <w:iCs/>
              </w:rPr>
              <w:t xml:space="preserve"> </w:t>
            </w:r>
            <w:r w:rsidR="005A70A3">
              <w:rPr>
                <w:iCs/>
              </w:rPr>
              <w:t>–</w:t>
            </w:r>
            <w:r w:rsidR="006F3852">
              <w:rPr>
                <w:iCs/>
              </w:rPr>
              <w:t xml:space="preserve"> </w:t>
            </w:r>
            <w:r w:rsidRPr="000874CF">
              <w:rPr>
                <w:iCs/>
              </w:rPr>
              <w:t>infrastruktūras caurvedes spēja</w:t>
            </w:r>
            <w:r w:rsidR="00C117EA">
              <w:rPr>
                <w:iCs/>
              </w:rPr>
              <w:t>, l</w:t>
            </w:r>
            <w:r w:rsidRPr="000874CF">
              <w:rPr>
                <w:iCs/>
              </w:rPr>
              <w:t>īdz ar to ši</w:t>
            </w:r>
            <w:r>
              <w:rPr>
                <w:iCs/>
              </w:rPr>
              <w:t>s</w:t>
            </w:r>
            <w:r w:rsidRPr="000874CF">
              <w:rPr>
                <w:iCs/>
              </w:rPr>
              <w:t xml:space="preserve"> rādītāj</w:t>
            </w:r>
            <w:r>
              <w:rPr>
                <w:iCs/>
              </w:rPr>
              <w:t xml:space="preserve">s </w:t>
            </w:r>
            <w:r w:rsidRPr="000874CF">
              <w:rPr>
                <w:iCs/>
              </w:rPr>
              <w:t>tiek svītrot</w:t>
            </w:r>
            <w:r w:rsidR="00C117EA">
              <w:rPr>
                <w:iCs/>
              </w:rPr>
              <w:t xml:space="preserve">s. </w:t>
            </w:r>
          </w:p>
          <w:p w14:paraId="2A8A6ECF" w14:textId="6D8D4A8F" w:rsidR="00C117EA" w:rsidRDefault="000874CF" w:rsidP="00C117EA">
            <w:pPr>
              <w:spacing w:after="120"/>
              <w:jc w:val="both"/>
              <w:rPr>
                <w:iCs/>
              </w:rPr>
            </w:pPr>
            <w:r w:rsidRPr="000874CF">
              <w:rPr>
                <w:iCs/>
              </w:rPr>
              <w:t xml:space="preserve">Lai atbilstoši </w:t>
            </w:r>
            <w:r w:rsidR="00C117EA">
              <w:rPr>
                <w:iCs/>
              </w:rPr>
              <w:t>darbības programmas</w:t>
            </w:r>
            <w:r w:rsidRPr="000874CF">
              <w:rPr>
                <w:iCs/>
              </w:rPr>
              <w:t xml:space="preserve"> mērķiem nodrošinātu konkurētspējīgu un videi draudzīgu TEN-T dzelzceļa tīklu, veicinot tā drošību, kvalitāti un kapacitāti,  </w:t>
            </w:r>
            <w:r w:rsidR="00C117EA">
              <w:rPr>
                <w:iCs/>
              </w:rPr>
              <w:t xml:space="preserve">darbības programmas </w:t>
            </w:r>
            <w:r w:rsidRPr="000874CF">
              <w:rPr>
                <w:iCs/>
              </w:rPr>
              <w:lastRenderedPageBreak/>
              <w:t>grozījum</w:t>
            </w:r>
            <w:r w:rsidR="00C117EA">
              <w:rPr>
                <w:iCs/>
              </w:rPr>
              <w:t>i paredz</w:t>
            </w:r>
            <w:r w:rsidRPr="000874CF">
              <w:rPr>
                <w:iCs/>
              </w:rPr>
              <w:t xml:space="preserve"> atbalstu dzelzceļa infrastruktūras modernizācijai,</w:t>
            </w:r>
            <w:r w:rsidR="000863D8">
              <w:rPr>
                <w:iCs/>
              </w:rPr>
              <w:t xml:space="preserve"> </w:t>
            </w:r>
            <w:r w:rsidRPr="000874CF">
              <w:rPr>
                <w:iCs/>
              </w:rPr>
              <w:t xml:space="preserve"> vienlaikus īstenojot arī drošības pasākumus, lai uzlabotu cilvēku un kravu mobilitāti dzelzceļa pārvadājumos, tādejādi attīstot dzelzceļu kā ilgtspējīga transporta sistēmas nozīmīgu komponenti. Attiecīgi, tiek noteikti jauni  sasniedzamie </w:t>
            </w:r>
            <w:r w:rsidR="00F75BF8">
              <w:rPr>
                <w:iCs/>
              </w:rPr>
              <w:t xml:space="preserve">uzraudzības </w:t>
            </w:r>
            <w:r w:rsidRPr="000874CF">
              <w:rPr>
                <w:iCs/>
              </w:rPr>
              <w:t>rādītāji</w:t>
            </w:r>
            <w:r w:rsidR="00C117EA">
              <w:rPr>
                <w:iCs/>
              </w:rPr>
              <w:t>:</w:t>
            </w:r>
          </w:p>
          <w:p w14:paraId="4EBBB2E5" w14:textId="7E52496D" w:rsidR="00D025A6" w:rsidRDefault="00D025A6" w:rsidP="00D025A6">
            <w:pPr>
              <w:pStyle w:val="ListParagraph"/>
              <w:numPr>
                <w:ilvl w:val="0"/>
                <w:numId w:val="10"/>
              </w:numPr>
              <w:autoSpaceDE w:val="0"/>
              <w:autoSpaceDN w:val="0"/>
              <w:spacing w:after="120" w:line="259" w:lineRule="auto"/>
              <w:jc w:val="both"/>
              <w:rPr>
                <w:iCs/>
              </w:rPr>
            </w:pPr>
            <w:r>
              <w:rPr>
                <w:iCs/>
              </w:rPr>
              <w:t xml:space="preserve">rezultāta rādītājs – </w:t>
            </w:r>
            <w:r w:rsidRPr="00507C46">
              <w:rPr>
                <w:iCs/>
              </w:rPr>
              <w:t xml:space="preserve">vilcienu kustības ātruma palielināšanās modernizētajā līnijā </w:t>
            </w:r>
            <w:r>
              <w:rPr>
                <w:iCs/>
              </w:rPr>
              <w:t xml:space="preserve">–  līdz 140km/h; </w:t>
            </w:r>
          </w:p>
          <w:p w14:paraId="29124033" w14:textId="74D47D92" w:rsidR="00D025A6" w:rsidRDefault="00D025A6" w:rsidP="00D025A6">
            <w:pPr>
              <w:pStyle w:val="ListParagraph"/>
              <w:numPr>
                <w:ilvl w:val="0"/>
                <w:numId w:val="10"/>
              </w:numPr>
              <w:spacing w:after="120"/>
              <w:jc w:val="both"/>
              <w:rPr>
                <w:iCs/>
              </w:rPr>
            </w:pPr>
            <w:r>
              <w:rPr>
                <w:iCs/>
              </w:rPr>
              <w:t xml:space="preserve">rezultāta rādītājs – </w:t>
            </w:r>
            <w:r w:rsidRPr="00C117EA">
              <w:rPr>
                <w:iCs/>
              </w:rPr>
              <w:t>modernizētās dzelzceļa pasažieru infrastruktūras īpatsvars</w:t>
            </w:r>
            <w:r>
              <w:rPr>
                <w:iCs/>
              </w:rPr>
              <w:t xml:space="preserve"> – 49%;</w:t>
            </w:r>
            <w:r w:rsidRPr="00C117EA">
              <w:rPr>
                <w:iCs/>
              </w:rPr>
              <w:t xml:space="preserve"> </w:t>
            </w:r>
          </w:p>
          <w:p w14:paraId="636B4097" w14:textId="0FCF57F3" w:rsidR="00F75BF8" w:rsidRPr="000863D8" w:rsidRDefault="00941333" w:rsidP="00D025A6">
            <w:pPr>
              <w:pStyle w:val="ListParagraph"/>
              <w:numPr>
                <w:ilvl w:val="0"/>
                <w:numId w:val="10"/>
              </w:numPr>
              <w:spacing w:after="120"/>
              <w:jc w:val="both"/>
              <w:rPr>
                <w:iCs/>
              </w:rPr>
            </w:pPr>
            <w:r>
              <w:rPr>
                <w:iCs/>
              </w:rPr>
              <w:t xml:space="preserve">iznākuma rādītājs – </w:t>
            </w:r>
            <w:r w:rsidR="000863D8">
              <w:rPr>
                <w:iCs/>
              </w:rPr>
              <w:t>s</w:t>
            </w:r>
            <w:r w:rsidR="00F75BF8" w:rsidRPr="000863D8">
              <w:rPr>
                <w:iCs/>
              </w:rPr>
              <w:t>taciju skaits, kurās uzbūvēti paaugstinātie peroni</w:t>
            </w:r>
            <w:r w:rsidR="00D025A6">
              <w:rPr>
                <w:iCs/>
              </w:rPr>
              <w:t xml:space="preserve"> –</w:t>
            </w:r>
            <w:r w:rsidR="00F75BF8" w:rsidRPr="000863D8">
              <w:rPr>
                <w:iCs/>
              </w:rPr>
              <w:t xml:space="preserve"> 45</w:t>
            </w:r>
            <w:r w:rsidR="000863D8">
              <w:rPr>
                <w:iCs/>
              </w:rPr>
              <w:t xml:space="preserve">; </w:t>
            </w:r>
            <w:r w:rsidR="000863D8">
              <w:rPr>
                <w:rStyle w:val="FootnoteReference"/>
                <w:iCs/>
              </w:rPr>
              <w:footnoteReference w:id="4"/>
            </w:r>
            <w:r w:rsidR="000863D8" w:rsidRPr="000863D8">
              <w:rPr>
                <w:iCs/>
              </w:rPr>
              <w:t xml:space="preserve"> </w:t>
            </w:r>
          </w:p>
          <w:p w14:paraId="567EF5AD" w14:textId="46F7C273" w:rsidR="00D025A6" w:rsidRPr="00D025A6" w:rsidRDefault="00D025A6" w:rsidP="00D025A6">
            <w:pPr>
              <w:pStyle w:val="ListParagraph"/>
              <w:numPr>
                <w:ilvl w:val="0"/>
                <w:numId w:val="10"/>
              </w:numPr>
              <w:spacing w:after="120"/>
              <w:jc w:val="both"/>
              <w:rPr>
                <w:iCs/>
              </w:rPr>
            </w:pPr>
            <w:r w:rsidRPr="00D025A6">
              <w:rPr>
                <w:rFonts w:eastAsia="Calibri"/>
              </w:rPr>
              <w:t>iznākuma rādītājs – rekonstruēto vai modernizēto dzelzceļa līniju kopējais garums – 150 km.</w:t>
            </w:r>
          </w:p>
          <w:p w14:paraId="0EB315AE" w14:textId="3D47AFFA" w:rsidR="00FF6995" w:rsidRDefault="00FF6995" w:rsidP="00FF6995">
            <w:pPr>
              <w:spacing w:before="120" w:after="120"/>
              <w:jc w:val="both"/>
              <w:outlineLvl w:val="0"/>
              <w:rPr>
                <w:iCs/>
              </w:rPr>
            </w:pPr>
            <w:r>
              <w:t>6.2.1.2.pasākuma</w:t>
            </w:r>
            <w:r w:rsidRPr="005C6CEA">
              <w:t xml:space="preserve"> ietvaros atbalstāmas darbības</w:t>
            </w:r>
            <w:r w:rsidRPr="00470169">
              <w:t xml:space="preserve"> ir Eiropas transporta tīklā esošas dzelzceļa infrastruktūras modernizācija un jaunas izveide, </w:t>
            </w:r>
            <w:r>
              <w:t>tostarp</w:t>
            </w:r>
            <w:r w:rsidRPr="00470169">
              <w:t xml:space="preserve"> nozīmīgāko dzelzceļa mezglu pārbūve un atjaunošana, dzelzceļa pasažieru infrastruktūras modernizācija, signal</w:t>
            </w:r>
            <w:r>
              <w:t>izācijas sistēmas modernizācija,</w:t>
            </w:r>
            <w:r>
              <w:rPr>
                <w:bCs/>
              </w:rPr>
              <w:t xml:space="preserve"> </w:t>
            </w:r>
            <w:r w:rsidRPr="001479B6">
              <w:rPr>
                <w:bCs/>
              </w:rPr>
              <w:t>kas atbilst Komisijas īstenošanas regulā (ES) Nr. 215/2014 noteiktajai intervences kategorijai</w:t>
            </w:r>
            <w:r>
              <w:rPr>
                <w:bCs/>
              </w:rPr>
              <w:t xml:space="preserve"> “</w:t>
            </w:r>
            <w:r w:rsidRPr="001479B6">
              <w:rPr>
                <w:bCs/>
              </w:rPr>
              <w:t>Transporta infrastruktūra</w:t>
            </w:r>
            <w:r>
              <w:rPr>
                <w:bCs/>
              </w:rPr>
              <w:t xml:space="preserve">” – 024 </w:t>
            </w:r>
            <w:r w:rsidRPr="001479B6">
              <w:rPr>
                <w:bCs/>
              </w:rPr>
              <w:t>Dzelzceļi (TEN-T pamattīkls)</w:t>
            </w:r>
            <w:r>
              <w:rPr>
                <w:bCs/>
              </w:rPr>
              <w:t xml:space="preserve"> un 025 </w:t>
            </w:r>
            <w:r w:rsidRPr="001479B6">
              <w:rPr>
                <w:bCs/>
              </w:rPr>
              <w:t>Dzelzceļi (TEN-T visaptverošais tīkls)</w:t>
            </w:r>
            <w:r>
              <w:rPr>
                <w:bCs/>
              </w:rPr>
              <w:t>.</w:t>
            </w:r>
          </w:p>
          <w:p w14:paraId="2A462515" w14:textId="77A84D86" w:rsidR="00F75BF8" w:rsidRPr="00F75BF8" w:rsidRDefault="00D67D4F" w:rsidP="00F75BF8">
            <w:pPr>
              <w:autoSpaceDE w:val="0"/>
              <w:autoSpaceDN w:val="0"/>
              <w:spacing w:after="120" w:line="259" w:lineRule="auto"/>
              <w:jc w:val="both"/>
              <w:rPr>
                <w:iCs/>
              </w:rPr>
            </w:pPr>
            <w:r>
              <w:rPr>
                <w:iCs/>
              </w:rPr>
              <w:t xml:space="preserve">Lai sasniegtu rādītājus, LDz 6.2.1.2.pasākuma ietvaros plāno  </w:t>
            </w:r>
            <w:r w:rsidR="00F75BF8">
              <w:rPr>
                <w:iCs/>
              </w:rPr>
              <w:t xml:space="preserve">īstenot </w:t>
            </w:r>
            <w:r w:rsidR="00A64138">
              <w:rPr>
                <w:iCs/>
              </w:rPr>
              <w:t>četrus</w:t>
            </w:r>
            <w:r w:rsidR="008F6C96">
              <w:rPr>
                <w:iCs/>
              </w:rPr>
              <w:t xml:space="preserve"> </w:t>
            </w:r>
            <w:r w:rsidR="00F75BF8">
              <w:rPr>
                <w:iCs/>
              </w:rPr>
              <w:t>atsevišķus projektus:</w:t>
            </w:r>
            <w:r w:rsidRPr="00F75BF8">
              <w:rPr>
                <w:iCs/>
              </w:rPr>
              <w:t xml:space="preserve"> </w:t>
            </w:r>
            <w:r w:rsidR="00F75BF8">
              <w:rPr>
                <w:iCs/>
              </w:rPr>
              <w:t>“</w:t>
            </w:r>
            <w:r w:rsidR="00F75BF8" w:rsidRPr="00414292">
              <w:t>Rīgas dzelzceļa mezgla posma Sarkandaugava – Mangaļi –</w:t>
            </w:r>
            <w:r w:rsidR="00A64138">
              <w:t xml:space="preserve"> </w:t>
            </w:r>
            <w:r w:rsidR="00F75BF8" w:rsidRPr="00414292">
              <w:t>Ziemeļblāzma modernizācija”</w:t>
            </w:r>
            <w:r w:rsidR="00F75BF8">
              <w:t xml:space="preserve"> (līgums ar Centrālo finanšu un līgumu aģentūru noslēgts 2017.gada 26.maijā), </w:t>
            </w:r>
            <w:r w:rsidR="00F75BF8" w:rsidRPr="00F75BF8">
              <w:rPr>
                <w:iCs/>
              </w:rPr>
              <w:t>“</w:t>
            </w:r>
            <w:r w:rsidR="00F75BF8" w:rsidRPr="00414292">
              <w:t>Dzelzceļa pasažieru infrastruktūras modernizācija”</w:t>
            </w:r>
            <w:r w:rsidR="00F75BF8">
              <w:t xml:space="preserve"> un </w:t>
            </w:r>
            <w:r w:rsidRPr="00F75BF8">
              <w:rPr>
                <w:iCs/>
              </w:rPr>
              <w:t>“</w:t>
            </w:r>
            <w:r w:rsidRPr="00414292">
              <w:t>Dzelzceļa infrastruktūras modernizācija</w:t>
            </w:r>
            <w:r>
              <w:t xml:space="preserve"> vilcienu kustības ātruma paaugstināšanai”</w:t>
            </w:r>
            <w:r w:rsidR="008F6C96">
              <w:t xml:space="preserve"> un “Nožogojumu un gājēju pāreju ierīkošana dzelzceļa infrastruktūras objektos”.</w:t>
            </w:r>
          </w:p>
          <w:p w14:paraId="5812CB37" w14:textId="59444A47" w:rsidR="00D67D4F" w:rsidRPr="000F74B8" w:rsidRDefault="00F75BF8" w:rsidP="00A64138">
            <w:pPr>
              <w:autoSpaceDE w:val="0"/>
              <w:autoSpaceDN w:val="0"/>
              <w:spacing w:after="120" w:line="259" w:lineRule="auto"/>
              <w:jc w:val="both"/>
              <w:rPr>
                <w:iCs/>
              </w:rPr>
            </w:pPr>
            <w:r>
              <w:rPr>
                <w:iCs/>
              </w:rPr>
              <w:t xml:space="preserve">Projekta </w:t>
            </w:r>
            <w:r w:rsidRPr="00F75BF8">
              <w:rPr>
                <w:iCs/>
              </w:rPr>
              <w:t>“</w:t>
            </w:r>
            <w:r w:rsidRPr="00414292">
              <w:t>Dzelzceļa infrastruktūras modernizācija</w:t>
            </w:r>
            <w:r>
              <w:t xml:space="preserve"> vilcienu kustības ātruma paaugstināšanai” ietvaros paredzēts paaugstināt vilcienu kustības ātrumu posmos Rīga</w:t>
            </w:r>
            <w:r w:rsidR="00A64138">
              <w:t xml:space="preserve"> –</w:t>
            </w:r>
            <w:r>
              <w:t xml:space="preserve"> Daugavpils un Rīga Jelgava līdz 140km/h, kopumā modernizējot dzelzceļa infrastruktūru  aptuveni </w:t>
            </w:r>
            <w:r w:rsidR="00A64138">
              <w:t>vairāk kā 15</w:t>
            </w:r>
            <w:r>
              <w:t>0</w:t>
            </w:r>
            <w:r w:rsidR="00A64138">
              <w:t xml:space="preserve"> </w:t>
            </w:r>
            <w:r>
              <w:t>km garumā</w:t>
            </w:r>
            <w:r w:rsidR="00A64138">
              <w:t xml:space="preserve">. Projekta īstenošanas ietvaros </w:t>
            </w:r>
            <w:r w:rsidR="008302C8">
              <w:t xml:space="preserve">plānotas šādas </w:t>
            </w:r>
            <w:r w:rsidR="00D67D4F">
              <w:t>aktivitātes</w:t>
            </w:r>
            <w:r w:rsidR="000F74B8">
              <w:t xml:space="preserve"> </w:t>
            </w:r>
            <w:r w:rsidR="00D67D4F" w:rsidRPr="000F74B8">
              <w:rPr>
                <w:iCs/>
              </w:rPr>
              <w:t>Rīga – Daugavpils</w:t>
            </w:r>
            <w:r w:rsidR="00D400FE">
              <w:rPr>
                <w:iCs/>
              </w:rPr>
              <w:t xml:space="preserve"> un</w:t>
            </w:r>
            <w:r w:rsidR="00D67D4F" w:rsidRPr="000F74B8">
              <w:rPr>
                <w:iCs/>
              </w:rPr>
              <w:t xml:space="preserve"> Rīga </w:t>
            </w:r>
            <w:r w:rsidR="00A64138">
              <w:rPr>
                <w:iCs/>
              </w:rPr>
              <w:t>–</w:t>
            </w:r>
            <w:r w:rsidR="00D67D4F" w:rsidRPr="000F74B8">
              <w:rPr>
                <w:iCs/>
              </w:rPr>
              <w:t xml:space="preserve"> Jelgava posm</w:t>
            </w:r>
            <w:r w:rsidR="00D400FE">
              <w:rPr>
                <w:iCs/>
              </w:rPr>
              <w:t>os:</w:t>
            </w:r>
            <w:r w:rsidR="00D67D4F" w:rsidRPr="000F74B8">
              <w:rPr>
                <w:iCs/>
              </w:rPr>
              <w:t xml:space="preserve"> dzelzceļa pārbrauktuv</w:t>
            </w:r>
            <w:r w:rsidR="000F74B8">
              <w:rPr>
                <w:iCs/>
              </w:rPr>
              <w:t xml:space="preserve">ju </w:t>
            </w:r>
            <w:r w:rsidR="00D67D4F" w:rsidRPr="000F74B8">
              <w:rPr>
                <w:iCs/>
              </w:rPr>
              <w:t xml:space="preserve"> </w:t>
            </w:r>
            <w:r w:rsidR="000F74B8" w:rsidRPr="000F74B8">
              <w:rPr>
                <w:iCs/>
              </w:rPr>
              <w:t>aprīko</w:t>
            </w:r>
            <w:r w:rsidR="000F74B8">
              <w:rPr>
                <w:iCs/>
              </w:rPr>
              <w:t xml:space="preserve">šana </w:t>
            </w:r>
            <w:r w:rsidR="00D67D4F" w:rsidRPr="000F74B8">
              <w:rPr>
                <w:iCs/>
              </w:rPr>
              <w:t>ar automātiskajām barjerām</w:t>
            </w:r>
            <w:r w:rsidR="000F74B8">
              <w:rPr>
                <w:iCs/>
              </w:rPr>
              <w:t xml:space="preserve">, </w:t>
            </w:r>
            <w:r w:rsidR="00D67D4F" w:rsidRPr="000F74B8">
              <w:rPr>
                <w:iCs/>
              </w:rPr>
              <w:t>dzelzceļa līkņu ģeometrijas pārbūv</w:t>
            </w:r>
            <w:r w:rsidR="000F74B8">
              <w:rPr>
                <w:iCs/>
              </w:rPr>
              <w:t>es</w:t>
            </w:r>
            <w:r w:rsidR="00D67D4F" w:rsidRPr="000F74B8">
              <w:rPr>
                <w:iCs/>
              </w:rPr>
              <w:t xml:space="preserve"> un ar to saistīto elektrokontakttīkla pārbūv</w:t>
            </w:r>
            <w:r w:rsidR="000F74B8">
              <w:rPr>
                <w:iCs/>
              </w:rPr>
              <w:t>es veikšana</w:t>
            </w:r>
            <w:r w:rsidR="00D67D4F" w:rsidRPr="000F74B8">
              <w:rPr>
                <w:iCs/>
              </w:rPr>
              <w:t>, lai nodrošinātu vilcienu kustības ātrumu līdz 140 km/h</w:t>
            </w:r>
            <w:r w:rsidR="000F74B8">
              <w:rPr>
                <w:iCs/>
              </w:rPr>
              <w:t xml:space="preserve">, </w:t>
            </w:r>
            <w:r w:rsidR="00D67D4F" w:rsidRPr="000F74B8">
              <w:rPr>
                <w:iCs/>
              </w:rPr>
              <w:t>pārmij</w:t>
            </w:r>
            <w:r w:rsidR="00045788">
              <w:rPr>
                <w:iCs/>
              </w:rPr>
              <w:t>u</w:t>
            </w:r>
            <w:r w:rsidR="000F74B8" w:rsidRPr="004935CB">
              <w:rPr>
                <w:iCs/>
              </w:rPr>
              <w:t xml:space="preserve"> uzstādīšana </w:t>
            </w:r>
            <w:r w:rsidR="00D67D4F" w:rsidRPr="004935CB">
              <w:rPr>
                <w:iCs/>
              </w:rPr>
              <w:t xml:space="preserve"> ar nepārtrauktu krusteņa rites</w:t>
            </w:r>
            <w:r w:rsidR="00D67D4F" w:rsidRPr="00CA2C6A">
              <w:rPr>
                <w:iCs/>
              </w:rPr>
              <w:t xml:space="preserve"> virsmu</w:t>
            </w:r>
            <w:r w:rsidR="000F74B8">
              <w:rPr>
                <w:iCs/>
              </w:rPr>
              <w:t xml:space="preserve">, </w:t>
            </w:r>
            <w:r w:rsidR="00D67D4F" w:rsidRPr="000F74B8">
              <w:rPr>
                <w:iCs/>
              </w:rPr>
              <w:t xml:space="preserve">dzelzceļa tiltu </w:t>
            </w:r>
            <w:r w:rsidR="000F74B8" w:rsidRPr="000F74B8">
              <w:rPr>
                <w:iCs/>
              </w:rPr>
              <w:lastRenderedPageBreak/>
              <w:t>pārbūvēšana</w:t>
            </w:r>
            <w:r w:rsidR="000F74B8">
              <w:rPr>
                <w:iCs/>
              </w:rPr>
              <w:t xml:space="preserve">, </w:t>
            </w:r>
            <w:r w:rsidR="00D67D4F" w:rsidRPr="000F74B8">
              <w:rPr>
                <w:iCs/>
              </w:rPr>
              <w:t>aizsargžogu gar dzelzceļu bīstamākajās vietās</w:t>
            </w:r>
            <w:r w:rsidR="000F74B8">
              <w:rPr>
                <w:iCs/>
              </w:rPr>
              <w:t xml:space="preserve"> izbūvēšana. </w:t>
            </w:r>
          </w:p>
          <w:p w14:paraId="3EF97E1E" w14:textId="574CC30E" w:rsidR="00080B95" w:rsidRPr="008F6C96" w:rsidRDefault="00F75BF8" w:rsidP="00080B95">
            <w:pPr>
              <w:autoSpaceDE w:val="0"/>
              <w:autoSpaceDN w:val="0"/>
              <w:spacing w:after="120" w:line="259" w:lineRule="auto"/>
              <w:jc w:val="both"/>
              <w:rPr>
                <w:iCs/>
              </w:rPr>
            </w:pPr>
            <w:r w:rsidRPr="00F75BF8">
              <w:rPr>
                <w:iCs/>
              </w:rPr>
              <w:t>Projekta</w:t>
            </w:r>
            <w:r w:rsidRPr="008F6C96">
              <w:rPr>
                <w:iCs/>
              </w:rPr>
              <w:t xml:space="preserve"> “Dzelzceļa pasažieru infrastruktūras modernizācija”</w:t>
            </w:r>
            <w:r w:rsidR="000863D8" w:rsidRPr="008F6C96">
              <w:rPr>
                <w:iCs/>
              </w:rPr>
              <w:t xml:space="preserve"> iet</w:t>
            </w:r>
            <w:r w:rsidR="000863D8" w:rsidRPr="002024EA">
              <w:rPr>
                <w:iCs/>
              </w:rPr>
              <w:t>varos paredzēts</w:t>
            </w:r>
            <w:r w:rsidR="00080B95" w:rsidRPr="002024EA">
              <w:rPr>
                <w:iCs/>
              </w:rPr>
              <w:t xml:space="preserve"> izbūvēt paaugstinātos peronus 45 stacijās</w:t>
            </w:r>
            <w:r w:rsidR="003777E7" w:rsidRPr="001B6660">
              <w:rPr>
                <w:iCs/>
              </w:rPr>
              <w:t xml:space="preserve">. Plānotās aktivitātes: </w:t>
            </w:r>
            <w:r w:rsidR="00080B95" w:rsidRPr="003B5556">
              <w:rPr>
                <w:iCs/>
              </w:rPr>
              <w:t>izbūvēt paaugstin</w:t>
            </w:r>
            <w:r w:rsidR="00080B95" w:rsidRPr="00AD077B">
              <w:rPr>
                <w:iCs/>
              </w:rPr>
              <w:t xml:space="preserve">ātās pasažieru platformas </w:t>
            </w:r>
            <w:r w:rsidR="00080B95" w:rsidRPr="000C26C3">
              <w:rPr>
                <w:iCs/>
              </w:rPr>
              <w:t>ar pandusiem un aprī</w:t>
            </w:r>
            <w:r w:rsidR="00080B95" w:rsidRPr="00422B44">
              <w:rPr>
                <w:iCs/>
              </w:rPr>
              <w:t>kojumu, t.sk.</w:t>
            </w:r>
            <w:r w:rsidR="00045788">
              <w:rPr>
                <w:iCs/>
              </w:rPr>
              <w:t xml:space="preserve"> </w:t>
            </w:r>
            <w:r w:rsidR="00080B95" w:rsidRPr="00422B44">
              <w:rPr>
                <w:iCs/>
              </w:rPr>
              <w:t>platformu nojumes</w:t>
            </w:r>
            <w:r w:rsidR="003777E7" w:rsidRPr="00422B44">
              <w:rPr>
                <w:iCs/>
              </w:rPr>
              <w:t xml:space="preserve">, </w:t>
            </w:r>
            <w:r w:rsidR="00080B95" w:rsidRPr="00422B44">
              <w:rPr>
                <w:iCs/>
              </w:rPr>
              <w:t>uzstādīt soliņus un atkritumu urnas</w:t>
            </w:r>
            <w:r w:rsidR="003777E7" w:rsidRPr="00422B44">
              <w:rPr>
                <w:iCs/>
              </w:rPr>
              <w:t>,</w:t>
            </w:r>
            <w:r w:rsidR="00080B95" w:rsidRPr="00422B44">
              <w:rPr>
                <w:iCs/>
              </w:rPr>
              <w:t xml:space="preserve"> izbūvēt gājēju pārejas</w:t>
            </w:r>
            <w:r w:rsidR="003777E7" w:rsidRPr="00422B44">
              <w:rPr>
                <w:iCs/>
              </w:rPr>
              <w:t xml:space="preserve">, veikt </w:t>
            </w:r>
            <w:r w:rsidR="00080B95" w:rsidRPr="000F74B8">
              <w:rPr>
                <w:iCs/>
              </w:rPr>
              <w:t>pieeju un teritoriju labiekārtošan</w:t>
            </w:r>
            <w:r w:rsidR="003777E7" w:rsidRPr="000F74B8">
              <w:rPr>
                <w:iCs/>
              </w:rPr>
              <w:t>u</w:t>
            </w:r>
            <w:r w:rsidR="00080B95" w:rsidRPr="000F74B8">
              <w:rPr>
                <w:iCs/>
              </w:rPr>
              <w:t xml:space="preserve"> (LED apgaismojums, gājēju celiņi, laukumi, velostatīvi,</w:t>
            </w:r>
            <w:r w:rsidR="00045788">
              <w:rPr>
                <w:iCs/>
              </w:rPr>
              <w:t xml:space="preserve"> </w:t>
            </w:r>
            <w:r w:rsidR="00080B95" w:rsidRPr="000F74B8">
              <w:rPr>
                <w:iCs/>
              </w:rPr>
              <w:t>drošības žogi)</w:t>
            </w:r>
            <w:r w:rsidR="003777E7" w:rsidRPr="000F74B8">
              <w:rPr>
                <w:iCs/>
              </w:rPr>
              <w:t>, uzstādīt</w:t>
            </w:r>
            <w:r w:rsidR="00080B95" w:rsidRPr="000F74B8">
              <w:rPr>
                <w:iCs/>
              </w:rPr>
              <w:t xml:space="preserve"> norā</w:t>
            </w:r>
            <w:r w:rsidR="003777E7" w:rsidRPr="000F74B8">
              <w:rPr>
                <w:iCs/>
              </w:rPr>
              <w:t>des</w:t>
            </w:r>
            <w:r w:rsidR="00080B95" w:rsidRPr="000F74B8">
              <w:rPr>
                <w:iCs/>
              </w:rPr>
              <w:t xml:space="preserve"> un informatīv</w:t>
            </w:r>
            <w:r w:rsidR="003777E7" w:rsidRPr="000F74B8">
              <w:rPr>
                <w:iCs/>
              </w:rPr>
              <w:t>ās</w:t>
            </w:r>
            <w:r w:rsidR="00080B95" w:rsidRPr="000F74B8">
              <w:rPr>
                <w:iCs/>
              </w:rPr>
              <w:t xml:space="preserve"> zīm</w:t>
            </w:r>
            <w:r w:rsidR="003777E7" w:rsidRPr="000F74B8">
              <w:rPr>
                <w:iCs/>
              </w:rPr>
              <w:t xml:space="preserve">es, </w:t>
            </w:r>
            <w:r w:rsidR="00080B95" w:rsidRPr="000F74B8">
              <w:rPr>
                <w:iCs/>
              </w:rPr>
              <w:t xml:space="preserve"> </w:t>
            </w:r>
            <w:r w:rsidR="003777E7" w:rsidRPr="000F74B8">
              <w:rPr>
                <w:iCs/>
              </w:rPr>
              <w:t>izbūvēt divlīmeņu pāreju,</w:t>
            </w:r>
            <w:r w:rsidR="003777E7" w:rsidRPr="002024EA">
              <w:rPr>
                <w:iCs/>
              </w:rPr>
              <w:t xml:space="preserve">  </w:t>
            </w:r>
            <w:r w:rsidR="00080B95" w:rsidRPr="002024EA">
              <w:rPr>
                <w:iCs/>
              </w:rPr>
              <w:t>komunikāciju tīkl</w:t>
            </w:r>
            <w:r w:rsidR="003777E7" w:rsidRPr="002024EA">
              <w:rPr>
                <w:iCs/>
              </w:rPr>
              <w:t xml:space="preserve">u izbūve, </w:t>
            </w:r>
            <w:r w:rsidR="00080B95" w:rsidRPr="002024EA">
              <w:rPr>
                <w:iCs/>
              </w:rPr>
              <w:t>signalizācijas sistēmas lauka iekārtu pārcelšana vai pārbūve</w:t>
            </w:r>
            <w:r w:rsidR="003777E7" w:rsidRPr="002024EA">
              <w:rPr>
                <w:iCs/>
              </w:rPr>
              <w:t xml:space="preserve">, </w:t>
            </w:r>
            <w:r w:rsidR="00080B95" w:rsidRPr="002024EA">
              <w:rPr>
                <w:iCs/>
              </w:rPr>
              <w:t>elektroapgāde, 4-10kV kabeļu kanalizācija, kontakttīklu balstu pārcelšana, zemējuma izbūve</w:t>
            </w:r>
            <w:r w:rsidR="003777E7" w:rsidRPr="002024EA">
              <w:rPr>
                <w:iCs/>
              </w:rPr>
              <w:t xml:space="preserve">, </w:t>
            </w:r>
            <w:r w:rsidR="00080B95" w:rsidRPr="002024EA">
              <w:rPr>
                <w:iCs/>
              </w:rPr>
              <w:t xml:space="preserve"> sliežu ceļu pārvietošana, pārmiju pārbūve</w:t>
            </w:r>
            <w:r w:rsidR="006C2566">
              <w:rPr>
                <w:iCs/>
              </w:rPr>
              <w:t>,</w:t>
            </w:r>
            <w:r w:rsidR="003777E7" w:rsidRPr="002024EA">
              <w:rPr>
                <w:iCs/>
              </w:rPr>
              <w:t xml:space="preserve"> </w:t>
            </w:r>
            <w:r w:rsidR="00080B95" w:rsidRPr="002024EA">
              <w:rPr>
                <w:iCs/>
              </w:rPr>
              <w:t>videonovērošanas sistēmas paplašināšana un ierīkošana pasažieru stacijās</w:t>
            </w:r>
            <w:r w:rsidR="003777E7" w:rsidRPr="002024EA">
              <w:rPr>
                <w:iCs/>
              </w:rPr>
              <w:t xml:space="preserve">, </w:t>
            </w:r>
            <w:r w:rsidR="00080B95" w:rsidRPr="002024EA">
              <w:rPr>
                <w:iCs/>
              </w:rPr>
              <w:t>vieno</w:t>
            </w:r>
            <w:r w:rsidR="003777E7" w:rsidRPr="002024EA">
              <w:rPr>
                <w:iCs/>
              </w:rPr>
              <w:t>t</w:t>
            </w:r>
            <w:r w:rsidR="00080B95" w:rsidRPr="002024EA">
              <w:rPr>
                <w:iCs/>
              </w:rPr>
              <w:t>ās informatīvās apziņošanas sistēmas (VIAS) izveidošana, apziņošanas ierīkošana</w:t>
            </w:r>
            <w:r w:rsidR="003777E7" w:rsidRPr="002024EA">
              <w:rPr>
                <w:iCs/>
              </w:rPr>
              <w:t xml:space="preserve"> </w:t>
            </w:r>
            <w:r w:rsidR="00080B95" w:rsidRPr="002024EA">
              <w:rPr>
                <w:iCs/>
              </w:rPr>
              <w:t>stacijās un pieslēgšana VIAS</w:t>
            </w:r>
            <w:r w:rsidR="003777E7" w:rsidRPr="002024EA">
              <w:rPr>
                <w:iCs/>
              </w:rPr>
              <w:t>.</w:t>
            </w:r>
          </w:p>
          <w:p w14:paraId="32E3DCC0" w14:textId="16A3BFD4" w:rsidR="003777E7" w:rsidRDefault="003777E7" w:rsidP="003777E7">
            <w:pPr>
              <w:autoSpaceDE w:val="0"/>
              <w:autoSpaceDN w:val="0"/>
              <w:spacing w:after="120" w:line="259" w:lineRule="auto"/>
              <w:jc w:val="both"/>
              <w:rPr>
                <w:iCs/>
              </w:rPr>
            </w:pPr>
            <w:r w:rsidRPr="002024EA">
              <w:rPr>
                <w:iCs/>
              </w:rPr>
              <w:t>P</w:t>
            </w:r>
            <w:r w:rsidR="006C2566">
              <w:rPr>
                <w:iCs/>
              </w:rPr>
              <w:t>rojekta īstenošanas ietvaros p</w:t>
            </w:r>
            <w:r w:rsidRPr="002024EA">
              <w:rPr>
                <w:iCs/>
              </w:rPr>
              <w:t>aredzēta arī jaunu pasažieru staciju būvniecība Torņakalns – Bolderāja līnijās (Silikātu un Slokas ielās), kā arī divu staciju būvniecība Dauderi – Zemitāni – Slokas un Alfa – Rīga – Cēsis posmos.</w:t>
            </w:r>
          </w:p>
          <w:p w14:paraId="46066A0E" w14:textId="77777777" w:rsidR="00647470" w:rsidRDefault="002024EA" w:rsidP="00647470">
            <w:pPr>
              <w:autoSpaceDE w:val="0"/>
              <w:autoSpaceDN w:val="0"/>
              <w:adjustRightInd w:val="0"/>
              <w:jc w:val="both"/>
              <w:rPr>
                <w:iCs/>
              </w:rPr>
            </w:pPr>
            <w:r>
              <w:rPr>
                <w:iCs/>
              </w:rPr>
              <w:t>Projekta “</w:t>
            </w:r>
            <w:r w:rsidRPr="001B6660">
              <w:rPr>
                <w:iCs/>
              </w:rPr>
              <w:t>Nožogojumu un gājēju pāreju ierīkošana dzelzceļa</w:t>
            </w:r>
            <w:r w:rsidR="001B6660">
              <w:rPr>
                <w:iCs/>
              </w:rPr>
              <w:t xml:space="preserve">  </w:t>
            </w:r>
            <w:r w:rsidRPr="001B6660">
              <w:rPr>
                <w:iCs/>
              </w:rPr>
              <w:t>infrastruktūras objektos”</w:t>
            </w:r>
            <w:r w:rsidR="001B6660" w:rsidRPr="001B6660">
              <w:rPr>
                <w:iCs/>
              </w:rPr>
              <w:t xml:space="preserve"> </w:t>
            </w:r>
            <w:r w:rsidR="00647470">
              <w:rPr>
                <w:iCs/>
              </w:rPr>
              <w:t xml:space="preserve">īstenošanas ietvaros </w:t>
            </w:r>
            <w:r w:rsidR="001B6660">
              <w:rPr>
                <w:iCs/>
              </w:rPr>
              <w:t xml:space="preserve">tiks </w:t>
            </w:r>
            <w:r w:rsidR="001B6660" w:rsidRPr="001B6660">
              <w:rPr>
                <w:iCs/>
              </w:rPr>
              <w:t>attīst</w:t>
            </w:r>
            <w:r w:rsidR="001B6660">
              <w:rPr>
                <w:iCs/>
              </w:rPr>
              <w:t xml:space="preserve">īts </w:t>
            </w:r>
            <w:r w:rsidR="001B6660" w:rsidRPr="001B6660">
              <w:rPr>
                <w:iCs/>
              </w:rPr>
              <w:t>Rīgas dzelzceļa</w:t>
            </w:r>
            <w:r w:rsidR="001B6660">
              <w:rPr>
                <w:iCs/>
              </w:rPr>
              <w:t xml:space="preserve"> </w:t>
            </w:r>
            <w:r w:rsidR="001B6660" w:rsidRPr="001B6660">
              <w:rPr>
                <w:iCs/>
              </w:rPr>
              <w:t>mezgl</w:t>
            </w:r>
            <w:r w:rsidR="001B6660">
              <w:rPr>
                <w:iCs/>
              </w:rPr>
              <w:t>s</w:t>
            </w:r>
            <w:r w:rsidR="001B6660" w:rsidRPr="001B6660">
              <w:rPr>
                <w:iCs/>
              </w:rPr>
              <w:t xml:space="preserve"> un</w:t>
            </w:r>
            <w:r w:rsidR="001B6660">
              <w:rPr>
                <w:iCs/>
              </w:rPr>
              <w:t xml:space="preserve"> </w:t>
            </w:r>
            <w:r w:rsidR="001B6660" w:rsidRPr="001B6660">
              <w:rPr>
                <w:iCs/>
              </w:rPr>
              <w:t>modernizē</w:t>
            </w:r>
            <w:r w:rsidR="001B6660">
              <w:rPr>
                <w:iCs/>
              </w:rPr>
              <w:t>ta</w:t>
            </w:r>
            <w:r w:rsidR="001B6660" w:rsidRPr="001B6660">
              <w:rPr>
                <w:iCs/>
              </w:rPr>
              <w:t xml:space="preserve"> pasažieru apkalpošanas infrastruktūr</w:t>
            </w:r>
            <w:r w:rsidR="001B6660">
              <w:rPr>
                <w:iCs/>
              </w:rPr>
              <w:t>a</w:t>
            </w:r>
            <w:r w:rsidR="001B6660" w:rsidRPr="001B6660">
              <w:rPr>
                <w:iCs/>
              </w:rPr>
              <w:t>, nodrošinot vilcienu kustības ātruma palielināšanu un drošību</w:t>
            </w:r>
            <w:r w:rsidR="001B6660">
              <w:rPr>
                <w:iCs/>
              </w:rPr>
              <w:t xml:space="preserve"> (</w:t>
            </w:r>
            <w:r w:rsidR="001B6660" w:rsidRPr="00C77241">
              <w:rPr>
                <w:iCs/>
              </w:rPr>
              <w:t>esošo pāreju atjaunošana un jaunu izbūvēšana,  sliežu ceļu posmu un</w:t>
            </w:r>
            <w:r w:rsidR="00C77241">
              <w:rPr>
                <w:iCs/>
              </w:rPr>
              <w:t xml:space="preserve"> </w:t>
            </w:r>
            <w:r w:rsidR="001B6660" w:rsidRPr="00C77241">
              <w:rPr>
                <w:iCs/>
              </w:rPr>
              <w:t>dzelzceļa staciju teritoriju nožogošana ar drošības žogiem</w:t>
            </w:r>
            <w:r w:rsidR="00C77241" w:rsidRPr="00C77241">
              <w:rPr>
                <w:iCs/>
              </w:rPr>
              <w:t xml:space="preserve">, </w:t>
            </w:r>
            <w:r w:rsidR="001B6660" w:rsidRPr="00C77241">
              <w:rPr>
                <w:iCs/>
              </w:rPr>
              <w:t>divlīmeņu šķērsojumu izbūve</w:t>
            </w:r>
            <w:r w:rsidR="00C77241">
              <w:rPr>
                <w:iCs/>
              </w:rPr>
              <w:t>).</w:t>
            </w:r>
          </w:p>
          <w:p w14:paraId="0DE8E8F3" w14:textId="36E3D6F7" w:rsidR="003D5B28" w:rsidRPr="00647470" w:rsidRDefault="007C5A7F" w:rsidP="00647470">
            <w:pPr>
              <w:autoSpaceDE w:val="0"/>
              <w:autoSpaceDN w:val="0"/>
              <w:adjustRightInd w:val="0"/>
              <w:jc w:val="both"/>
              <w:rPr>
                <w:iCs/>
              </w:rPr>
            </w:pPr>
            <w:r w:rsidRPr="000701E8">
              <w:rPr>
                <w:iCs/>
              </w:rPr>
              <w:t xml:space="preserve">6.2.1.2.pasākuma īstenošanas nosacījumus regulē 2016.gada 21.jūnija MK noteikumi Nr.404 “Darbības programmas “Izaugsme un nodarbinātība” 6.2.1.specifiskā atbalsta mērķa </w:t>
            </w:r>
            <w:r w:rsidR="001567B5">
              <w:rPr>
                <w:iCs/>
              </w:rPr>
              <w:t>“</w:t>
            </w:r>
            <w:r w:rsidRPr="000701E8">
              <w:rPr>
                <w:iCs/>
              </w:rPr>
              <w:t xml:space="preserve">Nodrošināt konkurētspējīgu un videi draudzīgu TEN-T dzelzceļa tīklu, veicinot tā drošību, kvalitāti un kapacitāti” 6.2.1.2.pasākuma </w:t>
            </w:r>
            <w:r w:rsidR="001567B5">
              <w:rPr>
                <w:iCs/>
              </w:rPr>
              <w:t>“</w:t>
            </w:r>
            <w:r w:rsidRPr="000701E8">
              <w:rPr>
                <w:iCs/>
              </w:rPr>
              <w:t>Dzelzceļa infrastruktūras modernizācija un izbūve” īstenošanas noteikumi” (turpmāk – MK noteikumi Nr. 404</w:t>
            </w:r>
            <w:r w:rsidRPr="008637F4">
              <w:rPr>
                <w:iCs/>
              </w:rPr>
              <w:t>).</w:t>
            </w:r>
            <w:r w:rsidR="008637F4" w:rsidRPr="008637F4">
              <w:rPr>
                <w:iCs/>
              </w:rPr>
              <w:t xml:space="preserve"> </w:t>
            </w:r>
            <w:r w:rsidR="008637F4" w:rsidRPr="00B30FA5">
              <w:rPr>
                <w:iCs/>
              </w:rPr>
              <w:t>Ņemot vērā</w:t>
            </w:r>
            <w:r w:rsidR="008637F4">
              <w:rPr>
                <w:iCs/>
              </w:rPr>
              <w:t xml:space="preserve"> apstiprinātos grozījumus darbības programmā</w:t>
            </w:r>
            <w:r w:rsidR="009553F7">
              <w:rPr>
                <w:iCs/>
              </w:rPr>
              <w:t xml:space="preserve"> atbilstoši </w:t>
            </w:r>
            <w:r w:rsidR="008637F4">
              <w:rPr>
                <w:iCs/>
              </w:rPr>
              <w:t xml:space="preserve"> </w:t>
            </w:r>
            <w:r w:rsidR="008637F4" w:rsidRPr="000701E8">
              <w:rPr>
                <w:iCs/>
              </w:rPr>
              <w:t>20</w:t>
            </w:r>
            <w:r w:rsidR="008637F4">
              <w:rPr>
                <w:iCs/>
              </w:rPr>
              <w:t>20</w:t>
            </w:r>
            <w:r w:rsidR="008637F4" w:rsidRPr="000701E8">
              <w:rPr>
                <w:iCs/>
              </w:rPr>
              <w:t xml:space="preserve">.gada </w:t>
            </w:r>
            <w:r w:rsidR="008637F4">
              <w:rPr>
                <w:iCs/>
              </w:rPr>
              <w:t xml:space="preserve">30.jūnija MK </w:t>
            </w:r>
            <w:r w:rsidR="008637F4" w:rsidRPr="000701E8">
              <w:rPr>
                <w:iCs/>
              </w:rPr>
              <w:t xml:space="preserve">sēdes protokollēmuma </w:t>
            </w:r>
            <w:r w:rsidR="008637F4">
              <w:rPr>
                <w:iCs/>
              </w:rPr>
              <w:t>(</w:t>
            </w:r>
            <w:r w:rsidR="008637F4" w:rsidRPr="006F614C">
              <w:rPr>
                <w:lang w:eastAsia="en-US"/>
              </w:rPr>
              <w:t>prot. Nr.</w:t>
            </w:r>
            <w:r w:rsidR="008637F4">
              <w:rPr>
                <w:lang w:eastAsia="en-US"/>
              </w:rPr>
              <w:t>42</w:t>
            </w:r>
            <w:r w:rsidR="008637F4" w:rsidRPr="006F614C">
              <w:rPr>
                <w:lang w:eastAsia="en-US"/>
              </w:rPr>
              <w:t xml:space="preserve">, </w:t>
            </w:r>
            <w:r w:rsidR="008637F4">
              <w:rPr>
                <w:lang w:eastAsia="en-US"/>
              </w:rPr>
              <w:t>59</w:t>
            </w:r>
            <w:r w:rsidR="008637F4" w:rsidRPr="006F614C">
              <w:rPr>
                <w:lang w:eastAsia="en-US"/>
              </w:rPr>
              <w:t>.§)</w:t>
            </w:r>
            <w:r w:rsidR="008637F4">
              <w:rPr>
                <w:lang w:eastAsia="en-US"/>
              </w:rPr>
              <w:t xml:space="preserve"> </w:t>
            </w:r>
            <w:r w:rsidR="006957EE" w:rsidRPr="008C25AD">
              <w:rPr>
                <w:iCs/>
              </w:rPr>
              <w:t>4</w:t>
            </w:r>
            <w:r w:rsidR="008637F4" w:rsidRPr="008C25AD">
              <w:rPr>
                <w:iCs/>
              </w:rPr>
              <w:t>.punktam,</w:t>
            </w:r>
            <w:r w:rsidR="008637F4" w:rsidRPr="000701E8">
              <w:rPr>
                <w:iCs/>
              </w:rPr>
              <w:t xml:space="preserve"> </w:t>
            </w:r>
            <w:r w:rsidR="008637F4">
              <w:rPr>
                <w:iCs/>
              </w:rPr>
              <w:t xml:space="preserve"> </w:t>
            </w:r>
            <w:r w:rsidR="008637F4" w:rsidRPr="000701E8">
              <w:rPr>
                <w:iCs/>
              </w:rPr>
              <w:t>nepieciešams veikt attiecīgu</w:t>
            </w:r>
            <w:r w:rsidR="006957EE">
              <w:rPr>
                <w:iCs/>
              </w:rPr>
              <w:t>s</w:t>
            </w:r>
            <w:r w:rsidR="008637F4" w:rsidRPr="000701E8">
              <w:rPr>
                <w:iCs/>
              </w:rPr>
              <w:t xml:space="preserve"> grozījumu</w:t>
            </w:r>
            <w:r w:rsidR="006957EE">
              <w:rPr>
                <w:iCs/>
              </w:rPr>
              <w:t>s</w:t>
            </w:r>
            <w:r w:rsidR="008637F4" w:rsidRPr="000701E8">
              <w:rPr>
                <w:iCs/>
              </w:rPr>
              <w:t xml:space="preserve"> MK noteikumos Nr.404, lai precizētu 6.2.1.2.pasākuma plānoto kopējo attiecināmo finansējumu, KF un privāto finansējumu, </w:t>
            </w:r>
            <w:r w:rsidR="008637F4">
              <w:rPr>
                <w:iCs/>
              </w:rPr>
              <w:t xml:space="preserve"> </w:t>
            </w:r>
            <w:r w:rsidR="008637F4" w:rsidRPr="000701E8">
              <w:rPr>
                <w:iCs/>
              </w:rPr>
              <w:t>t.i. noteikt, ka</w:t>
            </w:r>
            <w:r w:rsidR="008637F4">
              <w:rPr>
                <w:iCs/>
              </w:rPr>
              <w:t xml:space="preserve"> </w:t>
            </w:r>
            <w:r w:rsidR="008637F4" w:rsidRPr="000701E8">
              <w:rPr>
                <w:iCs/>
              </w:rPr>
              <w:t xml:space="preserve"> </w:t>
            </w:r>
            <w:r w:rsidR="008637F4">
              <w:rPr>
                <w:rFonts w:eastAsia="Calibri"/>
              </w:rPr>
              <w:t>pieejamais</w:t>
            </w:r>
            <w:r w:rsidR="008637F4" w:rsidRPr="00BE595C">
              <w:rPr>
                <w:rFonts w:eastAsia="Calibri"/>
              </w:rPr>
              <w:t xml:space="preserve"> </w:t>
            </w:r>
            <w:r w:rsidR="008637F4">
              <w:rPr>
                <w:rFonts w:eastAsia="Calibri"/>
              </w:rPr>
              <w:t>kopējais attiecināmais</w:t>
            </w:r>
            <w:r w:rsidR="008637F4" w:rsidRPr="00BE595C">
              <w:rPr>
                <w:rFonts w:eastAsia="Calibri"/>
              </w:rPr>
              <w:t xml:space="preserve"> </w:t>
            </w:r>
            <w:r w:rsidR="008637F4">
              <w:rPr>
                <w:rFonts w:eastAsia="Calibri"/>
              </w:rPr>
              <w:t xml:space="preserve">finansējums ir 153 515 015 </w:t>
            </w:r>
            <w:r w:rsidR="008637F4" w:rsidRPr="0059007F">
              <w:rPr>
                <w:rFonts w:eastAsia="Calibri"/>
                <w:i/>
              </w:rPr>
              <w:t>euro</w:t>
            </w:r>
            <w:r w:rsidR="008637F4" w:rsidRPr="00981D5B">
              <w:rPr>
                <w:rFonts w:eastAsia="Calibri"/>
              </w:rPr>
              <w:t>,</w:t>
            </w:r>
            <w:r w:rsidR="008637F4">
              <w:rPr>
                <w:rFonts w:eastAsia="Calibri"/>
              </w:rPr>
              <w:t xml:space="preserve"> </w:t>
            </w:r>
            <w:r w:rsidR="008637F4" w:rsidRPr="00981D5B">
              <w:rPr>
                <w:rFonts w:eastAsia="Calibri"/>
              </w:rPr>
              <w:t>tai skaitā</w:t>
            </w:r>
            <w:r w:rsidR="008637F4">
              <w:rPr>
                <w:rFonts w:eastAsia="Calibri"/>
              </w:rPr>
              <w:t xml:space="preserve"> </w:t>
            </w:r>
            <w:r w:rsidR="008637F4" w:rsidRPr="00F53335">
              <w:rPr>
                <w:rFonts w:eastAsia="Calibri"/>
              </w:rPr>
              <w:t>Kohēzijas fonda finansējuma apjoms ir 130 487 51</w:t>
            </w:r>
            <w:r w:rsidR="006957EE" w:rsidRPr="00F53335">
              <w:rPr>
                <w:rFonts w:eastAsia="Calibri"/>
              </w:rPr>
              <w:t>8</w:t>
            </w:r>
            <w:r w:rsidR="008637F4" w:rsidRPr="00F53335">
              <w:rPr>
                <w:rFonts w:eastAsia="Calibri"/>
              </w:rPr>
              <w:t xml:space="preserve">  </w:t>
            </w:r>
            <w:r w:rsidR="008637F4" w:rsidRPr="00F53335">
              <w:rPr>
                <w:rFonts w:eastAsia="Calibri"/>
                <w:i/>
              </w:rPr>
              <w:t>euro</w:t>
            </w:r>
            <w:r w:rsidR="008637F4" w:rsidRPr="00F53335">
              <w:rPr>
                <w:rFonts w:eastAsia="Calibri"/>
              </w:rPr>
              <w:t xml:space="preserve">, valsts budžeta finansējums 19 277 500 </w:t>
            </w:r>
            <w:r w:rsidR="008637F4" w:rsidRPr="00F53335">
              <w:rPr>
                <w:rFonts w:eastAsia="Calibri"/>
                <w:i/>
                <w:iCs/>
              </w:rPr>
              <w:t xml:space="preserve">euro </w:t>
            </w:r>
            <w:r w:rsidR="008637F4" w:rsidRPr="00F53335">
              <w:rPr>
                <w:rFonts w:eastAsia="Calibri"/>
              </w:rPr>
              <w:t xml:space="preserve"> un</w:t>
            </w:r>
            <w:r w:rsidR="008637F4">
              <w:rPr>
                <w:rFonts w:eastAsia="Calibri"/>
              </w:rPr>
              <w:t xml:space="preserve"> privātais finansējums </w:t>
            </w:r>
            <w:r w:rsidR="008637F4" w:rsidRPr="00910689">
              <w:rPr>
                <w:rFonts w:eastAsia="Calibri"/>
              </w:rPr>
              <w:t>vismaz</w:t>
            </w:r>
            <w:r w:rsidR="008637F4">
              <w:rPr>
                <w:rFonts w:eastAsia="Calibri"/>
              </w:rPr>
              <w:t xml:space="preserve"> 3 750 000 </w:t>
            </w:r>
            <w:r w:rsidR="008637F4" w:rsidRPr="0059007F">
              <w:rPr>
                <w:rFonts w:eastAsia="Calibri"/>
                <w:i/>
              </w:rPr>
              <w:t>euro</w:t>
            </w:r>
            <w:r w:rsidR="008637F4">
              <w:rPr>
                <w:rFonts w:eastAsia="Calibri"/>
              </w:rPr>
              <w:t>.</w:t>
            </w:r>
            <w:r w:rsidR="008637F4" w:rsidRPr="006A5258">
              <w:rPr>
                <w:rFonts w:eastAsia="Calibri"/>
              </w:rPr>
              <w:t xml:space="preserve"> </w:t>
            </w:r>
          </w:p>
          <w:p w14:paraId="75D78F3D" w14:textId="4CD47713" w:rsidR="003D5B28" w:rsidRPr="000701E8" w:rsidRDefault="003D5B28">
            <w:pPr>
              <w:jc w:val="both"/>
              <w:rPr>
                <w:iCs/>
              </w:rPr>
            </w:pPr>
          </w:p>
        </w:tc>
      </w:tr>
      <w:tr w:rsidR="000701E8" w:rsidRPr="000701E8" w14:paraId="6C2FDFC1" w14:textId="77777777" w:rsidTr="005C0EB7">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16F9E06A" w14:textId="77777777" w:rsidR="007C5A7F" w:rsidRPr="000701E8" w:rsidRDefault="007C5A7F" w:rsidP="007C5A7F">
            <w:pPr>
              <w:rPr>
                <w:iCs/>
              </w:rPr>
            </w:pPr>
            <w:r w:rsidRPr="000701E8">
              <w:rPr>
                <w:iCs/>
              </w:rPr>
              <w:lastRenderedPageBreak/>
              <w:t>3.</w:t>
            </w:r>
          </w:p>
        </w:tc>
        <w:tc>
          <w:tcPr>
            <w:tcW w:w="1063" w:type="pct"/>
            <w:tcBorders>
              <w:top w:val="outset" w:sz="6" w:space="0" w:color="auto"/>
              <w:left w:val="outset" w:sz="6" w:space="0" w:color="auto"/>
              <w:bottom w:val="outset" w:sz="6" w:space="0" w:color="auto"/>
              <w:right w:val="outset" w:sz="6" w:space="0" w:color="auto"/>
            </w:tcBorders>
            <w:hideMark/>
          </w:tcPr>
          <w:p w14:paraId="0B23050C" w14:textId="77777777" w:rsidR="007C5A7F" w:rsidRPr="000701E8" w:rsidRDefault="007C5A7F" w:rsidP="007C5A7F">
            <w:pPr>
              <w:rPr>
                <w:iCs/>
              </w:rPr>
            </w:pPr>
            <w:r w:rsidRPr="000701E8">
              <w:rPr>
                <w:iCs/>
              </w:rPr>
              <w:t>Projekta izstrādē iesaistītās institūcijas un publiskas personas kapitālsabiedrības</w:t>
            </w:r>
          </w:p>
        </w:tc>
        <w:tc>
          <w:tcPr>
            <w:tcW w:w="3592" w:type="pct"/>
            <w:tcBorders>
              <w:top w:val="outset" w:sz="6" w:space="0" w:color="auto"/>
              <w:left w:val="outset" w:sz="6" w:space="0" w:color="auto"/>
              <w:bottom w:val="outset" w:sz="6" w:space="0" w:color="auto"/>
              <w:right w:val="outset" w:sz="6" w:space="0" w:color="auto"/>
            </w:tcBorders>
            <w:hideMark/>
          </w:tcPr>
          <w:p w14:paraId="485845EE" w14:textId="6FD5582F" w:rsidR="007C5A7F" w:rsidRPr="000701E8" w:rsidRDefault="007C5A7F" w:rsidP="007C5A7F">
            <w:pPr>
              <w:rPr>
                <w:iCs/>
              </w:rPr>
            </w:pPr>
            <w:r w:rsidRPr="000701E8">
              <w:rPr>
                <w:iCs/>
              </w:rPr>
              <w:t>Satiksmes ministrija</w:t>
            </w:r>
            <w:r w:rsidR="007E3F5D">
              <w:rPr>
                <w:iCs/>
              </w:rPr>
              <w:t>,</w:t>
            </w:r>
          </w:p>
          <w:p w14:paraId="59855C39" w14:textId="5B5E878B" w:rsidR="00552FEB" w:rsidRPr="000701E8" w:rsidRDefault="007E3F5D" w:rsidP="007C5A7F">
            <w:pPr>
              <w:rPr>
                <w:iCs/>
              </w:rPr>
            </w:pPr>
            <w:r>
              <w:rPr>
                <w:iCs/>
              </w:rPr>
              <w:t>v</w:t>
            </w:r>
            <w:r w:rsidR="00DD054B">
              <w:rPr>
                <w:iCs/>
              </w:rPr>
              <w:t>alsts akciju sabiedrība</w:t>
            </w:r>
            <w:r w:rsidR="00552FEB" w:rsidRPr="000701E8">
              <w:rPr>
                <w:iCs/>
              </w:rPr>
              <w:t xml:space="preserve"> “Latvijas </w:t>
            </w:r>
            <w:r w:rsidR="00205FCA">
              <w:rPr>
                <w:iCs/>
              </w:rPr>
              <w:t>d</w:t>
            </w:r>
            <w:r w:rsidR="00552FEB" w:rsidRPr="000701E8">
              <w:rPr>
                <w:iCs/>
              </w:rPr>
              <w:t>zelzceļš”</w:t>
            </w:r>
            <w:r>
              <w:rPr>
                <w:iCs/>
              </w:rPr>
              <w:t>.</w:t>
            </w:r>
          </w:p>
        </w:tc>
      </w:tr>
      <w:tr w:rsidR="000701E8" w:rsidRPr="000701E8" w14:paraId="579716CA" w14:textId="77777777" w:rsidTr="005C0EB7">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14:paraId="03A7E248" w14:textId="77777777" w:rsidR="007C5A7F" w:rsidRPr="000701E8" w:rsidRDefault="007C5A7F" w:rsidP="007C5A7F">
            <w:pPr>
              <w:rPr>
                <w:iCs/>
              </w:rPr>
            </w:pPr>
            <w:r w:rsidRPr="000701E8">
              <w:rPr>
                <w:iCs/>
              </w:rPr>
              <w:t>4.</w:t>
            </w:r>
          </w:p>
        </w:tc>
        <w:tc>
          <w:tcPr>
            <w:tcW w:w="1063" w:type="pct"/>
            <w:tcBorders>
              <w:top w:val="outset" w:sz="6" w:space="0" w:color="auto"/>
              <w:left w:val="outset" w:sz="6" w:space="0" w:color="auto"/>
              <w:bottom w:val="outset" w:sz="6" w:space="0" w:color="auto"/>
              <w:right w:val="outset" w:sz="6" w:space="0" w:color="auto"/>
            </w:tcBorders>
            <w:hideMark/>
          </w:tcPr>
          <w:p w14:paraId="5AA09EAD" w14:textId="77777777" w:rsidR="007C5A7F" w:rsidRPr="000701E8" w:rsidRDefault="007C5A7F" w:rsidP="007C5A7F">
            <w:pPr>
              <w:rPr>
                <w:iCs/>
              </w:rPr>
            </w:pPr>
            <w:r w:rsidRPr="000701E8">
              <w:rPr>
                <w:iCs/>
              </w:rPr>
              <w:t>Cita informācija</w:t>
            </w:r>
          </w:p>
        </w:tc>
        <w:tc>
          <w:tcPr>
            <w:tcW w:w="3592" w:type="pct"/>
            <w:tcBorders>
              <w:top w:val="outset" w:sz="6" w:space="0" w:color="auto"/>
              <w:left w:val="outset" w:sz="6" w:space="0" w:color="auto"/>
              <w:bottom w:val="outset" w:sz="6" w:space="0" w:color="auto"/>
              <w:right w:val="outset" w:sz="6" w:space="0" w:color="auto"/>
            </w:tcBorders>
            <w:hideMark/>
          </w:tcPr>
          <w:p w14:paraId="5EF4275D" w14:textId="6CE1CC4B" w:rsidR="007C5A7F" w:rsidRPr="000701E8" w:rsidRDefault="007C5A7F" w:rsidP="007C5A7F">
            <w:pPr>
              <w:tabs>
                <w:tab w:val="left" w:pos="0"/>
                <w:tab w:val="left" w:pos="3769"/>
              </w:tabs>
              <w:jc w:val="both"/>
              <w:rPr>
                <w:rFonts w:eastAsia="Calibri"/>
                <w:lang w:eastAsia="en-US"/>
              </w:rPr>
            </w:pPr>
            <w:r w:rsidRPr="000701E8">
              <w:rPr>
                <w:rFonts w:eastAsia="Calibri"/>
                <w:lang w:eastAsia="en-US"/>
              </w:rPr>
              <w:t>Nav</w:t>
            </w:r>
            <w:r w:rsidR="007E3F5D">
              <w:rPr>
                <w:rFonts w:eastAsia="Calibri"/>
                <w:lang w:eastAsia="en-US"/>
              </w:rPr>
              <w:t>.</w:t>
            </w:r>
          </w:p>
        </w:tc>
      </w:tr>
    </w:tbl>
    <w:p w14:paraId="5A5234D3" w14:textId="77777777" w:rsidR="007C5A7F" w:rsidRPr="000701E8" w:rsidRDefault="007C5A7F" w:rsidP="007C5A7F">
      <w:pPr>
        <w:rPr>
          <w:iCs/>
        </w:rPr>
      </w:pPr>
      <w:r w:rsidRPr="000701E8">
        <w:rPr>
          <w:iCs/>
        </w:rPr>
        <w:t xml:space="preserve">  </w:t>
      </w:r>
    </w:p>
    <w:tbl>
      <w:tblPr>
        <w:tblW w:w="52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1"/>
        <w:gridCol w:w="2790"/>
        <w:gridCol w:w="5369"/>
      </w:tblGrid>
      <w:tr w:rsidR="000701E8" w:rsidRPr="000701E8" w14:paraId="7B0BDF2F" w14:textId="77777777" w:rsidTr="00E045F6">
        <w:trPr>
          <w:tblCellSpacing w:w="15" w:type="dxa"/>
        </w:trPr>
        <w:tc>
          <w:tcPr>
            <w:tcW w:w="4966" w:type="pct"/>
            <w:gridSpan w:val="3"/>
            <w:tcBorders>
              <w:top w:val="outset" w:sz="6" w:space="0" w:color="auto"/>
              <w:left w:val="outset" w:sz="6" w:space="0" w:color="auto"/>
              <w:bottom w:val="outset" w:sz="6" w:space="0" w:color="auto"/>
              <w:right w:val="outset" w:sz="6" w:space="0" w:color="auto"/>
            </w:tcBorders>
            <w:vAlign w:val="center"/>
            <w:hideMark/>
          </w:tcPr>
          <w:p w14:paraId="1EC15CA5" w14:textId="77777777" w:rsidR="007C5A7F" w:rsidRPr="000701E8" w:rsidRDefault="007C5A7F" w:rsidP="007C5A7F">
            <w:pPr>
              <w:rPr>
                <w:b/>
                <w:bCs/>
                <w:iCs/>
              </w:rPr>
            </w:pPr>
            <w:r w:rsidRPr="000701E8">
              <w:rPr>
                <w:b/>
                <w:bCs/>
                <w:iCs/>
              </w:rPr>
              <w:t>II. Tiesību akta projekta ietekme uz sabiedrību, tautsaimniecības attīstību un administratīvo slogu</w:t>
            </w:r>
          </w:p>
        </w:tc>
      </w:tr>
      <w:tr w:rsidR="000701E8" w:rsidRPr="000701E8" w14:paraId="31020D5C" w14:textId="77777777" w:rsidTr="00E045F6">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117E0597" w14:textId="77777777" w:rsidR="007C5A7F" w:rsidRPr="000701E8" w:rsidRDefault="007C5A7F" w:rsidP="007C5A7F">
            <w:pPr>
              <w:rPr>
                <w:iCs/>
              </w:rPr>
            </w:pPr>
            <w:r w:rsidRPr="000701E8">
              <w:rPr>
                <w:iCs/>
              </w:rPr>
              <w:t>1.</w:t>
            </w:r>
          </w:p>
        </w:tc>
        <w:tc>
          <w:tcPr>
            <w:tcW w:w="1599" w:type="pct"/>
            <w:tcBorders>
              <w:top w:val="outset" w:sz="6" w:space="0" w:color="auto"/>
              <w:left w:val="outset" w:sz="6" w:space="0" w:color="auto"/>
              <w:bottom w:val="outset" w:sz="6" w:space="0" w:color="auto"/>
              <w:right w:val="outset" w:sz="6" w:space="0" w:color="auto"/>
            </w:tcBorders>
            <w:hideMark/>
          </w:tcPr>
          <w:p w14:paraId="2AA91A8B" w14:textId="77777777" w:rsidR="007C5A7F" w:rsidRPr="000701E8" w:rsidRDefault="007C5A7F" w:rsidP="007C5A7F">
            <w:pPr>
              <w:rPr>
                <w:iCs/>
              </w:rPr>
            </w:pPr>
            <w:r w:rsidRPr="000701E8">
              <w:rPr>
                <w:iCs/>
              </w:rPr>
              <w:t>Sabiedrības mērķgrupas, kuras tiesiskais regulējums ietekmē vai varētu ietekmēt</w:t>
            </w:r>
          </w:p>
        </w:tc>
        <w:tc>
          <w:tcPr>
            <w:tcW w:w="3052" w:type="pct"/>
            <w:tcBorders>
              <w:top w:val="outset" w:sz="6" w:space="0" w:color="auto"/>
              <w:left w:val="outset" w:sz="6" w:space="0" w:color="auto"/>
              <w:bottom w:val="outset" w:sz="6" w:space="0" w:color="auto"/>
              <w:right w:val="outset" w:sz="6" w:space="0" w:color="auto"/>
            </w:tcBorders>
            <w:hideMark/>
          </w:tcPr>
          <w:p w14:paraId="346C122D" w14:textId="4B545017" w:rsidR="007C5A7F" w:rsidRPr="000701E8" w:rsidRDefault="007C5A7F" w:rsidP="007C5A7F">
            <w:pPr>
              <w:jc w:val="both"/>
              <w:rPr>
                <w:iCs/>
              </w:rPr>
            </w:pPr>
            <w:r w:rsidRPr="000701E8">
              <w:rPr>
                <w:iCs/>
              </w:rPr>
              <w:t>Satiksmes ministrij</w:t>
            </w:r>
            <w:r w:rsidR="007E3F5D">
              <w:rPr>
                <w:iCs/>
              </w:rPr>
              <w:t>a</w:t>
            </w:r>
            <w:r w:rsidRPr="000701E8">
              <w:rPr>
                <w:iCs/>
              </w:rPr>
              <w:t>, Sadarbības iestād</w:t>
            </w:r>
            <w:r w:rsidR="007E3F5D">
              <w:rPr>
                <w:iCs/>
              </w:rPr>
              <w:t>e</w:t>
            </w:r>
            <w:r w:rsidRPr="000701E8">
              <w:rPr>
                <w:iCs/>
              </w:rPr>
              <w:t xml:space="preserve"> un valsts akciju sabiedrīb</w:t>
            </w:r>
            <w:r w:rsidR="007E3F5D">
              <w:rPr>
                <w:iCs/>
              </w:rPr>
              <w:t>a</w:t>
            </w:r>
            <w:r w:rsidRPr="000701E8">
              <w:rPr>
                <w:iCs/>
              </w:rPr>
              <w:t xml:space="preserve"> “Latvijas dzelzceļš”.</w:t>
            </w:r>
          </w:p>
        </w:tc>
      </w:tr>
      <w:tr w:rsidR="000701E8" w:rsidRPr="000701E8" w14:paraId="1B043374" w14:textId="77777777" w:rsidTr="00E045F6">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36C74110" w14:textId="77777777" w:rsidR="007C5A7F" w:rsidRPr="000701E8" w:rsidRDefault="007C5A7F" w:rsidP="007C5A7F">
            <w:pPr>
              <w:rPr>
                <w:iCs/>
              </w:rPr>
            </w:pPr>
            <w:r w:rsidRPr="000701E8">
              <w:rPr>
                <w:iCs/>
              </w:rPr>
              <w:t>2.</w:t>
            </w:r>
          </w:p>
        </w:tc>
        <w:tc>
          <w:tcPr>
            <w:tcW w:w="1599" w:type="pct"/>
            <w:tcBorders>
              <w:top w:val="outset" w:sz="6" w:space="0" w:color="auto"/>
              <w:left w:val="outset" w:sz="6" w:space="0" w:color="auto"/>
              <w:bottom w:val="outset" w:sz="6" w:space="0" w:color="auto"/>
              <w:right w:val="outset" w:sz="6" w:space="0" w:color="auto"/>
            </w:tcBorders>
            <w:hideMark/>
          </w:tcPr>
          <w:p w14:paraId="1517D6F6" w14:textId="77777777" w:rsidR="007C5A7F" w:rsidRPr="000701E8" w:rsidRDefault="007C5A7F" w:rsidP="007C5A7F">
            <w:pPr>
              <w:rPr>
                <w:iCs/>
              </w:rPr>
            </w:pPr>
            <w:r w:rsidRPr="000701E8">
              <w:rPr>
                <w:iCs/>
              </w:rPr>
              <w:t>Tiesiskā regulējuma ietekme uz tautsaimniecību un administratīvo slogu</w:t>
            </w:r>
          </w:p>
        </w:tc>
        <w:tc>
          <w:tcPr>
            <w:tcW w:w="3052" w:type="pct"/>
            <w:tcBorders>
              <w:top w:val="outset" w:sz="6" w:space="0" w:color="auto"/>
              <w:left w:val="outset" w:sz="6" w:space="0" w:color="auto"/>
              <w:bottom w:val="outset" w:sz="6" w:space="0" w:color="auto"/>
              <w:right w:val="outset" w:sz="6" w:space="0" w:color="auto"/>
            </w:tcBorders>
            <w:hideMark/>
          </w:tcPr>
          <w:p w14:paraId="4E9E4E2B" w14:textId="77777777" w:rsidR="007C5A7F" w:rsidRPr="000701E8" w:rsidRDefault="007C5A7F" w:rsidP="007C5A7F">
            <w:pPr>
              <w:jc w:val="both"/>
              <w:rPr>
                <w:iCs/>
              </w:rPr>
            </w:pPr>
            <w:r w:rsidRPr="000701E8">
              <w:rPr>
                <w:iCs/>
              </w:rPr>
              <w:t>Noteikumu projekts neparedz ietekmi uz administratīvo slogu un tautsaimniecību.</w:t>
            </w:r>
          </w:p>
          <w:p w14:paraId="2A29A74E" w14:textId="77777777" w:rsidR="007C5A7F" w:rsidRPr="000701E8" w:rsidRDefault="007C5A7F" w:rsidP="007C5A7F">
            <w:pPr>
              <w:rPr>
                <w:iCs/>
              </w:rPr>
            </w:pPr>
          </w:p>
        </w:tc>
      </w:tr>
      <w:tr w:rsidR="000701E8" w:rsidRPr="000701E8" w14:paraId="3BD579F3" w14:textId="77777777" w:rsidTr="00E045F6">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0B36B3FF" w14:textId="77777777" w:rsidR="007C5A7F" w:rsidRPr="000701E8" w:rsidRDefault="007C5A7F" w:rsidP="007C5A7F">
            <w:pPr>
              <w:rPr>
                <w:iCs/>
              </w:rPr>
            </w:pPr>
            <w:r w:rsidRPr="000701E8">
              <w:rPr>
                <w:iCs/>
              </w:rPr>
              <w:t>3.</w:t>
            </w:r>
          </w:p>
        </w:tc>
        <w:tc>
          <w:tcPr>
            <w:tcW w:w="1599" w:type="pct"/>
            <w:tcBorders>
              <w:top w:val="outset" w:sz="6" w:space="0" w:color="auto"/>
              <w:left w:val="outset" w:sz="6" w:space="0" w:color="auto"/>
              <w:bottom w:val="outset" w:sz="6" w:space="0" w:color="auto"/>
              <w:right w:val="outset" w:sz="6" w:space="0" w:color="auto"/>
            </w:tcBorders>
            <w:hideMark/>
          </w:tcPr>
          <w:p w14:paraId="4CA402B8" w14:textId="77777777" w:rsidR="007C5A7F" w:rsidRPr="000701E8" w:rsidRDefault="007C5A7F" w:rsidP="007C5A7F">
            <w:pPr>
              <w:rPr>
                <w:iCs/>
              </w:rPr>
            </w:pPr>
            <w:r w:rsidRPr="000701E8">
              <w:rPr>
                <w:iCs/>
              </w:rPr>
              <w:t>Administratīvo izmaksu monetārs novērtējums</w:t>
            </w:r>
          </w:p>
        </w:tc>
        <w:tc>
          <w:tcPr>
            <w:tcW w:w="3052" w:type="pct"/>
            <w:tcBorders>
              <w:top w:val="outset" w:sz="6" w:space="0" w:color="auto"/>
              <w:left w:val="outset" w:sz="6" w:space="0" w:color="auto"/>
              <w:bottom w:val="outset" w:sz="6" w:space="0" w:color="auto"/>
              <w:right w:val="outset" w:sz="6" w:space="0" w:color="auto"/>
            </w:tcBorders>
            <w:hideMark/>
          </w:tcPr>
          <w:p w14:paraId="4B0938D1" w14:textId="7C915D64" w:rsidR="007C5A7F" w:rsidRPr="000701E8" w:rsidRDefault="007E3F5D" w:rsidP="007C5A7F">
            <w:pPr>
              <w:rPr>
                <w:iCs/>
              </w:rPr>
            </w:pPr>
            <w:r>
              <w:rPr>
                <w:iCs/>
              </w:rPr>
              <w:t>MK noteikumu p</w:t>
            </w:r>
            <w:r w:rsidR="007C5A7F" w:rsidRPr="000701E8">
              <w:rPr>
                <w:iCs/>
              </w:rPr>
              <w:t>rojekts šo jomu neskar.</w:t>
            </w:r>
          </w:p>
        </w:tc>
      </w:tr>
      <w:tr w:rsidR="000701E8" w:rsidRPr="000701E8" w14:paraId="37DA8860" w14:textId="77777777" w:rsidTr="00E045F6">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07B438D2" w14:textId="77777777" w:rsidR="007C5A7F" w:rsidRPr="000701E8" w:rsidRDefault="007C5A7F" w:rsidP="007C5A7F">
            <w:pPr>
              <w:rPr>
                <w:iCs/>
              </w:rPr>
            </w:pPr>
            <w:r w:rsidRPr="000701E8">
              <w:rPr>
                <w:iCs/>
              </w:rPr>
              <w:t>4.</w:t>
            </w:r>
          </w:p>
        </w:tc>
        <w:tc>
          <w:tcPr>
            <w:tcW w:w="1599" w:type="pct"/>
            <w:tcBorders>
              <w:top w:val="outset" w:sz="6" w:space="0" w:color="auto"/>
              <w:left w:val="outset" w:sz="6" w:space="0" w:color="auto"/>
              <w:bottom w:val="outset" w:sz="6" w:space="0" w:color="auto"/>
              <w:right w:val="outset" w:sz="6" w:space="0" w:color="auto"/>
            </w:tcBorders>
            <w:hideMark/>
          </w:tcPr>
          <w:p w14:paraId="27F48617" w14:textId="77777777" w:rsidR="007C5A7F" w:rsidRPr="000701E8" w:rsidRDefault="007C5A7F" w:rsidP="007C5A7F">
            <w:pPr>
              <w:rPr>
                <w:iCs/>
              </w:rPr>
            </w:pPr>
            <w:r w:rsidRPr="000701E8">
              <w:rPr>
                <w:iCs/>
              </w:rPr>
              <w:t>Atbilstības izmaksu monetārs novērtējums</w:t>
            </w:r>
          </w:p>
        </w:tc>
        <w:tc>
          <w:tcPr>
            <w:tcW w:w="3052" w:type="pct"/>
            <w:tcBorders>
              <w:top w:val="outset" w:sz="6" w:space="0" w:color="auto"/>
              <w:left w:val="outset" w:sz="6" w:space="0" w:color="auto"/>
              <w:bottom w:val="outset" w:sz="6" w:space="0" w:color="auto"/>
              <w:right w:val="outset" w:sz="6" w:space="0" w:color="auto"/>
            </w:tcBorders>
            <w:hideMark/>
          </w:tcPr>
          <w:p w14:paraId="6AC8E3DD" w14:textId="6FB8B9C4" w:rsidR="007C5A7F" w:rsidRPr="000701E8" w:rsidRDefault="007E3F5D" w:rsidP="007C5A7F">
            <w:pPr>
              <w:rPr>
                <w:iCs/>
              </w:rPr>
            </w:pPr>
            <w:r>
              <w:rPr>
                <w:iCs/>
              </w:rPr>
              <w:t>MK noteikumu p</w:t>
            </w:r>
            <w:r w:rsidR="007C5A7F" w:rsidRPr="000701E8">
              <w:rPr>
                <w:iCs/>
              </w:rPr>
              <w:t>rojekts šo jomu neskar.</w:t>
            </w:r>
          </w:p>
        </w:tc>
      </w:tr>
      <w:tr w:rsidR="000701E8" w:rsidRPr="000701E8" w14:paraId="4A1A6B2D" w14:textId="77777777" w:rsidTr="00E045F6">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55AEA4B7" w14:textId="77777777" w:rsidR="007C5A7F" w:rsidRPr="000701E8" w:rsidRDefault="007C5A7F" w:rsidP="007C5A7F">
            <w:pPr>
              <w:rPr>
                <w:iCs/>
              </w:rPr>
            </w:pPr>
            <w:r w:rsidRPr="000701E8">
              <w:rPr>
                <w:iCs/>
              </w:rPr>
              <w:t>5.</w:t>
            </w:r>
          </w:p>
        </w:tc>
        <w:tc>
          <w:tcPr>
            <w:tcW w:w="1599" w:type="pct"/>
            <w:tcBorders>
              <w:top w:val="outset" w:sz="6" w:space="0" w:color="auto"/>
              <w:left w:val="outset" w:sz="6" w:space="0" w:color="auto"/>
              <w:bottom w:val="outset" w:sz="6" w:space="0" w:color="auto"/>
              <w:right w:val="outset" w:sz="6" w:space="0" w:color="auto"/>
            </w:tcBorders>
            <w:hideMark/>
          </w:tcPr>
          <w:p w14:paraId="27F1D227" w14:textId="77777777" w:rsidR="007C5A7F" w:rsidRPr="000701E8" w:rsidRDefault="007C5A7F" w:rsidP="007C5A7F">
            <w:pPr>
              <w:rPr>
                <w:iCs/>
              </w:rPr>
            </w:pPr>
            <w:r w:rsidRPr="000701E8">
              <w:rPr>
                <w:iCs/>
              </w:rPr>
              <w:t>Cita informācija</w:t>
            </w:r>
          </w:p>
        </w:tc>
        <w:tc>
          <w:tcPr>
            <w:tcW w:w="3052" w:type="pct"/>
            <w:tcBorders>
              <w:top w:val="outset" w:sz="6" w:space="0" w:color="auto"/>
              <w:left w:val="outset" w:sz="6" w:space="0" w:color="auto"/>
              <w:bottom w:val="outset" w:sz="6" w:space="0" w:color="auto"/>
              <w:right w:val="outset" w:sz="6" w:space="0" w:color="auto"/>
            </w:tcBorders>
            <w:hideMark/>
          </w:tcPr>
          <w:p w14:paraId="0317FB90" w14:textId="3A1FC4DA" w:rsidR="007C5A7F" w:rsidRPr="000701E8" w:rsidRDefault="007C5A7F" w:rsidP="007C5A7F">
            <w:pPr>
              <w:rPr>
                <w:iCs/>
              </w:rPr>
            </w:pPr>
            <w:r w:rsidRPr="000701E8">
              <w:rPr>
                <w:iCs/>
              </w:rPr>
              <w:t>Nav</w:t>
            </w:r>
            <w:r w:rsidR="007E3F5D">
              <w:rPr>
                <w:iCs/>
              </w:rPr>
              <w:t>.</w:t>
            </w:r>
          </w:p>
        </w:tc>
      </w:tr>
    </w:tbl>
    <w:p w14:paraId="728E691A" w14:textId="77777777" w:rsidR="007C5A7F" w:rsidRPr="000701E8" w:rsidRDefault="007C5A7F" w:rsidP="007C5A7F">
      <w:pPr>
        <w:rPr>
          <w:iCs/>
        </w:rPr>
      </w:pPr>
      <w:r w:rsidRPr="000701E8">
        <w:rPr>
          <w:iCs/>
        </w:rPr>
        <w:t xml:space="preserve">  </w:t>
      </w:r>
    </w:p>
    <w:tbl>
      <w:tblPr>
        <w:tblW w:w="6413" w:type="pct"/>
        <w:tblCellSpacing w:w="15" w:type="dxa"/>
        <w:tblInd w:w="-1001"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845"/>
        <w:gridCol w:w="1276"/>
        <w:gridCol w:w="1133"/>
        <w:gridCol w:w="1275"/>
        <w:gridCol w:w="1418"/>
        <w:gridCol w:w="1276"/>
        <w:gridCol w:w="992"/>
        <w:gridCol w:w="1418"/>
      </w:tblGrid>
      <w:tr w:rsidR="000701E8" w:rsidRPr="000701E8" w14:paraId="5A3B467D" w14:textId="77777777" w:rsidTr="00461EED">
        <w:trPr>
          <w:tblCellSpacing w:w="15" w:type="dxa"/>
        </w:trPr>
        <w:tc>
          <w:tcPr>
            <w:tcW w:w="10573" w:type="dxa"/>
            <w:gridSpan w:val="8"/>
            <w:tcBorders>
              <w:top w:val="outset" w:sz="6" w:space="0" w:color="auto"/>
              <w:left w:val="outset" w:sz="6" w:space="0" w:color="auto"/>
              <w:bottom w:val="outset" w:sz="6" w:space="0" w:color="auto"/>
              <w:right w:val="outset" w:sz="6" w:space="0" w:color="auto"/>
            </w:tcBorders>
            <w:vAlign w:val="center"/>
            <w:hideMark/>
          </w:tcPr>
          <w:p w14:paraId="5C62ED6D" w14:textId="77777777" w:rsidR="007C5A7F" w:rsidRPr="000701E8" w:rsidRDefault="007C5A7F" w:rsidP="007C5A7F">
            <w:pPr>
              <w:rPr>
                <w:b/>
                <w:bCs/>
                <w:iCs/>
              </w:rPr>
            </w:pPr>
            <w:r w:rsidRPr="000701E8">
              <w:rPr>
                <w:b/>
                <w:bCs/>
                <w:iCs/>
              </w:rPr>
              <w:t>III. Tiesību akta projekta ietekme uz valsts budžetu un pašvaldību budžetiem</w:t>
            </w:r>
          </w:p>
        </w:tc>
      </w:tr>
      <w:tr w:rsidR="000701E8" w:rsidRPr="000701E8" w14:paraId="3E89A2B1" w14:textId="77777777" w:rsidTr="00461EED">
        <w:trPr>
          <w:tblCellSpacing w:w="15" w:type="dxa"/>
        </w:trPr>
        <w:tc>
          <w:tcPr>
            <w:tcW w:w="1800" w:type="dxa"/>
            <w:vMerge w:val="restart"/>
            <w:tcBorders>
              <w:top w:val="outset" w:sz="6" w:space="0" w:color="auto"/>
              <w:left w:val="outset" w:sz="6" w:space="0" w:color="auto"/>
              <w:bottom w:val="outset" w:sz="6" w:space="0" w:color="auto"/>
              <w:right w:val="outset" w:sz="6" w:space="0" w:color="auto"/>
            </w:tcBorders>
            <w:vAlign w:val="center"/>
            <w:hideMark/>
          </w:tcPr>
          <w:p w14:paraId="2F0C05B9" w14:textId="77777777" w:rsidR="007C5A7F" w:rsidRPr="000701E8" w:rsidRDefault="007C5A7F" w:rsidP="007C5A7F">
            <w:pPr>
              <w:rPr>
                <w:iCs/>
              </w:rPr>
            </w:pPr>
            <w:r w:rsidRPr="000701E8">
              <w:rPr>
                <w:iCs/>
              </w:rPr>
              <w:t>Rādītāji</w:t>
            </w:r>
          </w:p>
        </w:tc>
        <w:tc>
          <w:tcPr>
            <w:tcW w:w="2379"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7B445BA7" w14:textId="77777777" w:rsidR="007C5A7F" w:rsidRPr="000701E8" w:rsidRDefault="007C5A7F" w:rsidP="007C5A7F">
            <w:pPr>
              <w:rPr>
                <w:iCs/>
              </w:rPr>
            </w:pPr>
            <w:r w:rsidRPr="000701E8">
              <w:rPr>
                <w:iCs/>
              </w:rPr>
              <w:t>2020.gads</w:t>
            </w:r>
          </w:p>
        </w:tc>
        <w:tc>
          <w:tcPr>
            <w:tcW w:w="6334" w:type="dxa"/>
            <w:gridSpan w:val="5"/>
            <w:tcBorders>
              <w:top w:val="outset" w:sz="6" w:space="0" w:color="auto"/>
              <w:left w:val="outset" w:sz="6" w:space="0" w:color="auto"/>
              <w:bottom w:val="outset" w:sz="6" w:space="0" w:color="auto"/>
              <w:right w:val="outset" w:sz="6" w:space="0" w:color="auto"/>
            </w:tcBorders>
            <w:vAlign w:val="center"/>
            <w:hideMark/>
          </w:tcPr>
          <w:p w14:paraId="087D0085" w14:textId="77777777" w:rsidR="007C5A7F" w:rsidRPr="000701E8" w:rsidRDefault="007C5A7F" w:rsidP="007C5A7F">
            <w:pPr>
              <w:rPr>
                <w:iCs/>
              </w:rPr>
            </w:pPr>
            <w:r w:rsidRPr="000701E8">
              <w:rPr>
                <w:iCs/>
              </w:rPr>
              <w:t>Turpmākie trīs gadi (</w:t>
            </w:r>
            <w:r w:rsidRPr="000701E8">
              <w:rPr>
                <w:i/>
                <w:iCs/>
              </w:rPr>
              <w:t>euro</w:t>
            </w:r>
            <w:r w:rsidRPr="000701E8">
              <w:rPr>
                <w:iCs/>
              </w:rPr>
              <w:t>)</w:t>
            </w:r>
          </w:p>
        </w:tc>
      </w:tr>
      <w:tr w:rsidR="00461EED" w:rsidRPr="000701E8" w14:paraId="3228C6ED" w14:textId="77777777" w:rsidTr="007B2918">
        <w:trPr>
          <w:tblCellSpacing w:w="15" w:type="dxa"/>
        </w:trPr>
        <w:tc>
          <w:tcPr>
            <w:tcW w:w="1800" w:type="dxa"/>
            <w:vMerge/>
            <w:tcBorders>
              <w:top w:val="outset" w:sz="6" w:space="0" w:color="auto"/>
              <w:left w:val="outset" w:sz="6" w:space="0" w:color="auto"/>
              <w:bottom w:val="outset" w:sz="6" w:space="0" w:color="auto"/>
              <w:right w:val="outset" w:sz="6" w:space="0" w:color="auto"/>
            </w:tcBorders>
            <w:vAlign w:val="center"/>
            <w:hideMark/>
          </w:tcPr>
          <w:p w14:paraId="413338DE" w14:textId="77777777" w:rsidR="007C5A7F" w:rsidRPr="000701E8" w:rsidRDefault="007C5A7F" w:rsidP="007C5A7F">
            <w:pPr>
              <w:rPr>
                <w:iCs/>
              </w:rPr>
            </w:pPr>
          </w:p>
        </w:tc>
        <w:tc>
          <w:tcPr>
            <w:tcW w:w="2379" w:type="dxa"/>
            <w:gridSpan w:val="2"/>
            <w:vMerge/>
            <w:tcBorders>
              <w:top w:val="outset" w:sz="6" w:space="0" w:color="auto"/>
              <w:left w:val="outset" w:sz="6" w:space="0" w:color="auto"/>
              <w:bottom w:val="outset" w:sz="6" w:space="0" w:color="auto"/>
              <w:right w:val="outset" w:sz="6" w:space="0" w:color="auto"/>
            </w:tcBorders>
            <w:vAlign w:val="center"/>
            <w:hideMark/>
          </w:tcPr>
          <w:p w14:paraId="65196AF2" w14:textId="77777777" w:rsidR="007C5A7F" w:rsidRPr="000701E8" w:rsidRDefault="007C5A7F" w:rsidP="007C5A7F">
            <w:pPr>
              <w:rPr>
                <w:iCs/>
              </w:rPr>
            </w:pPr>
          </w:p>
        </w:tc>
        <w:tc>
          <w:tcPr>
            <w:tcW w:w="2663" w:type="dxa"/>
            <w:gridSpan w:val="2"/>
            <w:tcBorders>
              <w:top w:val="outset" w:sz="6" w:space="0" w:color="auto"/>
              <w:left w:val="outset" w:sz="6" w:space="0" w:color="auto"/>
              <w:bottom w:val="outset" w:sz="6" w:space="0" w:color="auto"/>
              <w:right w:val="outset" w:sz="6" w:space="0" w:color="auto"/>
            </w:tcBorders>
            <w:vAlign w:val="center"/>
            <w:hideMark/>
          </w:tcPr>
          <w:p w14:paraId="1B28BF00" w14:textId="77777777" w:rsidR="007C5A7F" w:rsidRPr="000701E8" w:rsidRDefault="007C5A7F" w:rsidP="007C5A7F">
            <w:pPr>
              <w:rPr>
                <w:iCs/>
              </w:rPr>
            </w:pPr>
            <w:r w:rsidRPr="000701E8">
              <w:rPr>
                <w:iCs/>
              </w:rPr>
              <w:t>2021.g.</w:t>
            </w:r>
          </w:p>
        </w:tc>
        <w:tc>
          <w:tcPr>
            <w:tcW w:w="2238" w:type="dxa"/>
            <w:gridSpan w:val="2"/>
            <w:tcBorders>
              <w:top w:val="outset" w:sz="6" w:space="0" w:color="auto"/>
              <w:left w:val="outset" w:sz="6" w:space="0" w:color="auto"/>
              <w:bottom w:val="outset" w:sz="6" w:space="0" w:color="auto"/>
              <w:right w:val="outset" w:sz="6" w:space="0" w:color="auto"/>
            </w:tcBorders>
            <w:vAlign w:val="center"/>
            <w:hideMark/>
          </w:tcPr>
          <w:p w14:paraId="05342ADC" w14:textId="77777777" w:rsidR="007C5A7F" w:rsidRPr="000701E8" w:rsidRDefault="007C5A7F" w:rsidP="007C5A7F">
            <w:pPr>
              <w:rPr>
                <w:iCs/>
              </w:rPr>
            </w:pPr>
            <w:r w:rsidRPr="000701E8">
              <w:rPr>
                <w:iCs/>
              </w:rPr>
              <w:t>2022.g.</w:t>
            </w:r>
          </w:p>
        </w:tc>
        <w:tc>
          <w:tcPr>
            <w:tcW w:w="1373" w:type="dxa"/>
            <w:tcBorders>
              <w:top w:val="outset" w:sz="6" w:space="0" w:color="auto"/>
              <w:left w:val="outset" w:sz="6" w:space="0" w:color="auto"/>
              <w:bottom w:val="outset" w:sz="6" w:space="0" w:color="auto"/>
              <w:right w:val="outset" w:sz="6" w:space="0" w:color="auto"/>
            </w:tcBorders>
            <w:vAlign w:val="center"/>
            <w:hideMark/>
          </w:tcPr>
          <w:p w14:paraId="3D5CF4D1" w14:textId="77777777" w:rsidR="007C5A7F" w:rsidRPr="000701E8" w:rsidRDefault="007C5A7F" w:rsidP="007C5A7F">
            <w:pPr>
              <w:rPr>
                <w:iCs/>
              </w:rPr>
            </w:pPr>
            <w:r w:rsidRPr="000701E8">
              <w:rPr>
                <w:iCs/>
              </w:rPr>
              <w:t>2023.g.</w:t>
            </w:r>
          </w:p>
        </w:tc>
      </w:tr>
      <w:tr w:rsidR="00461EED" w:rsidRPr="000701E8" w14:paraId="4483E748" w14:textId="77777777" w:rsidTr="007B2918">
        <w:trPr>
          <w:tblCellSpacing w:w="15" w:type="dxa"/>
        </w:trPr>
        <w:tc>
          <w:tcPr>
            <w:tcW w:w="1800" w:type="dxa"/>
            <w:vMerge/>
            <w:tcBorders>
              <w:top w:val="outset" w:sz="6" w:space="0" w:color="auto"/>
              <w:left w:val="outset" w:sz="6" w:space="0" w:color="auto"/>
              <w:bottom w:val="outset" w:sz="6" w:space="0" w:color="auto"/>
              <w:right w:val="outset" w:sz="6" w:space="0" w:color="auto"/>
            </w:tcBorders>
            <w:vAlign w:val="center"/>
            <w:hideMark/>
          </w:tcPr>
          <w:p w14:paraId="61643322" w14:textId="77777777" w:rsidR="007C5A7F" w:rsidRPr="000701E8" w:rsidRDefault="007C5A7F" w:rsidP="007C5A7F">
            <w:pPr>
              <w:rPr>
                <w:iCs/>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5C0A92AA" w14:textId="77777777" w:rsidR="007C5A7F" w:rsidRPr="000701E8" w:rsidRDefault="007C5A7F" w:rsidP="007C5A7F">
            <w:pPr>
              <w:rPr>
                <w:iCs/>
              </w:rPr>
            </w:pPr>
            <w:r w:rsidRPr="000701E8">
              <w:rPr>
                <w:iCs/>
              </w:rPr>
              <w:t>saskaņā ar valsts budžetu kārtējam gadam</w:t>
            </w:r>
          </w:p>
        </w:tc>
        <w:tc>
          <w:tcPr>
            <w:tcW w:w="1103" w:type="dxa"/>
            <w:tcBorders>
              <w:top w:val="outset" w:sz="6" w:space="0" w:color="auto"/>
              <w:left w:val="outset" w:sz="6" w:space="0" w:color="auto"/>
              <w:bottom w:val="outset" w:sz="6" w:space="0" w:color="auto"/>
              <w:right w:val="outset" w:sz="6" w:space="0" w:color="auto"/>
            </w:tcBorders>
            <w:vAlign w:val="center"/>
            <w:hideMark/>
          </w:tcPr>
          <w:p w14:paraId="1CA97281" w14:textId="77777777" w:rsidR="007C5A7F" w:rsidRPr="000701E8" w:rsidRDefault="007C5A7F" w:rsidP="007C5A7F">
            <w:pPr>
              <w:rPr>
                <w:iCs/>
              </w:rPr>
            </w:pPr>
            <w:r w:rsidRPr="000701E8">
              <w:rPr>
                <w:iCs/>
              </w:rPr>
              <w:t>izmaiņas kārtējā gadā, salīdzinot ar valsts budžetu kārtējam gadam</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B9A842C" w14:textId="77777777" w:rsidR="007C5A7F" w:rsidRPr="000701E8" w:rsidRDefault="007C5A7F" w:rsidP="007C5A7F">
            <w:pPr>
              <w:rPr>
                <w:iCs/>
              </w:rPr>
            </w:pPr>
            <w:r w:rsidRPr="000701E8">
              <w:rPr>
                <w:iCs/>
              </w:rPr>
              <w:t>saskaņā ar vidēja termiņa budžeta ietvaru</w:t>
            </w:r>
          </w:p>
        </w:tc>
        <w:tc>
          <w:tcPr>
            <w:tcW w:w="1388" w:type="dxa"/>
            <w:tcBorders>
              <w:top w:val="outset" w:sz="6" w:space="0" w:color="auto"/>
              <w:left w:val="outset" w:sz="6" w:space="0" w:color="auto"/>
              <w:bottom w:val="outset" w:sz="6" w:space="0" w:color="auto"/>
              <w:right w:val="outset" w:sz="6" w:space="0" w:color="auto"/>
            </w:tcBorders>
            <w:vAlign w:val="center"/>
            <w:hideMark/>
          </w:tcPr>
          <w:p w14:paraId="61CD667F" w14:textId="704F5EC0" w:rsidR="007C5A7F" w:rsidRPr="000701E8" w:rsidRDefault="000F7D7B" w:rsidP="007C5A7F">
            <w:pPr>
              <w:rPr>
                <w:iCs/>
              </w:rPr>
            </w:pPr>
            <w:r>
              <w:t>izmaiņas, salīdzinot ar vidēja termiņa budžeta ietvaru 2021.gadam</w:t>
            </w:r>
          </w:p>
        </w:tc>
        <w:tc>
          <w:tcPr>
            <w:tcW w:w="1246" w:type="dxa"/>
            <w:tcBorders>
              <w:top w:val="outset" w:sz="6" w:space="0" w:color="auto"/>
              <w:left w:val="outset" w:sz="6" w:space="0" w:color="auto"/>
              <w:bottom w:val="outset" w:sz="6" w:space="0" w:color="auto"/>
              <w:right w:val="outset" w:sz="6" w:space="0" w:color="auto"/>
            </w:tcBorders>
            <w:vAlign w:val="center"/>
            <w:hideMark/>
          </w:tcPr>
          <w:p w14:paraId="1FE2002A" w14:textId="77777777" w:rsidR="007C5A7F" w:rsidRPr="000701E8" w:rsidRDefault="007C5A7F" w:rsidP="007C5A7F">
            <w:pPr>
              <w:rPr>
                <w:iCs/>
              </w:rPr>
            </w:pPr>
            <w:r w:rsidRPr="000701E8">
              <w:rPr>
                <w:iCs/>
              </w:rPr>
              <w:t>saskaņā ar vidēja termiņa budžeta ietvaru</w:t>
            </w:r>
          </w:p>
        </w:tc>
        <w:tc>
          <w:tcPr>
            <w:tcW w:w="962" w:type="dxa"/>
            <w:tcBorders>
              <w:top w:val="outset" w:sz="6" w:space="0" w:color="auto"/>
              <w:left w:val="outset" w:sz="6" w:space="0" w:color="auto"/>
              <w:bottom w:val="outset" w:sz="6" w:space="0" w:color="auto"/>
              <w:right w:val="outset" w:sz="6" w:space="0" w:color="auto"/>
            </w:tcBorders>
            <w:vAlign w:val="center"/>
            <w:hideMark/>
          </w:tcPr>
          <w:p w14:paraId="3C2CFF8F" w14:textId="258AAADC" w:rsidR="007C5A7F" w:rsidRPr="000701E8" w:rsidRDefault="000F7D7B" w:rsidP="007C5A7F">
            <w:pPr>
              <w:rPr>
                <w:iCs/>
              </w:rPr>
            </w:pPr>
            <w:r>
              <w:t>izmaiņas, salīdzinot ar vidēja termiņa budžeta ietvaru 2022.gadam</w:t>
            </w:r>
          </w:p>
        </w:tc>
        <w:tc>
          <w:tcPr>
            <w:tcW w:w="1373" w:type="dxa"/>
            <w:tcBorders>
              <w:top w:val="outset" w:sz="6" w:space="0" w:color="auto"/>
              <w:left w:val="outset" w:sz="6" w:space="0" w:color="auto"/>
              <w:bottom w:val="outset" w:sz="6" w:space="0" w:color="auto"/>
              <w:right w:val="outset" w:sz="6" w:space="0" w:color="auto"/>
            </w:tcBorders>
            <w:vAlign w:val="center"/>
            <w:hideMark/>
          </w:tcPr>
          <w:p w14:paraId="2554E28C" w14:textId="44AEE089" w:rsidR="007C5A7F" w:rsidRPr="000701E8" w:rsidRDefault="007C5A7F" w:rsidP="005933E5">
            <w:pPr>
              <w:rPr>
                <w:iCs/>
              </w:rPr>
            </w:pPr>
            <w:r w:rsidRPr="000701E8">
              <w:rPr>
                <w:iCs/>
              </w:rPr>
              <w:t xml:space="preserve">izmaiņas, salīdzinot ar vidēja termiņa budžeta ietvaru </w:t>
            </w:r>
            <w:r w:rsidR="005933E5">
              <w:rPr>
                <w:iCs/>
              </w:rPr>
              <w:t>2022.</w:t>
            </w:r>
            <w:r w:rsidRPr="000701E8">
              <w:rPr>
                <w:iCs/>
              </w:rPr>
              <w:t xml:space="preserve"> gadam</w:t>
            </w:r>
          </w:p>
        </w:tc>
      </w:tr>
      <w:tr w:rsidR="00461EED" w:rsidRPr="000701E8" w14:paraId="059B59EC"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vAlign w:val="center"/>
            <w:hideMark/>
          </w:tcPr>
          <w:p w14:paraId="134C8781" w14:textId="77777777" w:rsidR="007C5A7F" w:rsidRPr="000701E8" w:rsidRDefault="007C5A7F" w:rsidP="007C5A7F">
            <w:pPr>
              <w:rPr>
                <w:iCs/>
              </w:rPr>
            </w:pPr>
            <w:r w:rsidRPr="000701E8">
              <w:rPr>
                <w:iCs/>
              </w:rPr>
              <w:t>1</w:t>
            </w:r>
          </w:p>
        </w:tc>
        <w:tc>
          <w:tcPr>
            <w:tcW w:w="1246" w:type="dxa"/>
            <w:tcBorders>
              <w:top w:val="outset" w:sz="6" w:space="0" w:color="auto"/>
              <w:left w:val="outset" w:sz="6" w:space="0" w:color="auto"/>
              <w:bottom w:val="outset" w:sz="6" w:space="0" w:color="auto"/>
              <w:right w:val="outset" w:sz="6" w:space="0" w:color="auto"/>
            </w:tcBorders>
            <w:vAlign w:val="center"/>
            <w:hideMark/>
          </w:tcPr>
          <w:p w14:paraId="79F72B3D" w14:textId="77777777" w:rsidR="007C5A7F" w:rsidRPr="000701E8" w:rsidRDefault="007C5A7F" w:rsidP="007C5A7F">
            <w:pPr>
              <w:rPr>
                <w:iCs/>
              </w:rPr>
            </w:pPr>
            <w:r w:rsidRPr="000701E8">
              <w:rPr>
                <w:iCs/>
              </w:rPr>
              <w:t>2</w:t>
            </w:r>
          </w:p>
        </w:tc>
        <w:tc>
          <w:tcPr>
            <w:tcW w:w="1103" w:type="dxa"/>
            <w:tcBorders>
              <w:top w:val="outset" w:sz="6" w:space="0" w:color="auto"/>
              <w:left w:val="outset" w:sz="6" w:space="0" w:color="auto"/>
              <w:bottom w:val="outset" w:sz="6" w:space="0" w:color="auto"/>
              <w:right w:val="outset" w:sz="6" w:space="0" w:color="auto"/>
            </w:tcBorders>
            <w:vAlign w:val="center"/>
            <w:hideMark/>
          </w:tcPr>
          <w:p w14:paraId="1A42B906" w14:textId="77777777" w:rsidR="007C5A7F" w:rsidRPr="000701E8" w:rsidRDefault="007C5A7F" w:rsidP="007C5A7F">
            <w:pPr>
              <w:rPr>
                <w:iCs/>
              </w:rPr>
            </w:pPr>
            <w:r w:rsidRPr="000701E8">
              <w:rPr>
                <w:iCs/>
              </w:rPr>
              <w:t>3</w:t>
            </w:r>
          </w:p>
        </w:tc>
        <w:tc>
          <w:tcPr>
            <w:tcW w:w="1245" w:type="dxa"/>
            <w:tcBorders>
              <w:top w:val="outset" w:sz="6" w:space="0" w:color="auto"/>
              <w:left w:val="outset" w:sz="6" w:space="0" w:color="auto"/>
              <w:bottom w:val="outset" w:sz="6" w:space="0" w:color="auto"/>
              <w:right w:val="outset" w:sz="6" w:space="0" w:color="auto"/>
            </w:tcBorders>
            <w:vAlign w:val="center"/>
            <w:hideMark/>
          </w:tcPr>
          <w:p w14:paraId="0CC0EA62" w14:textId="77777777" w:rsidR="007C5A7F" w:rsidRPr="000701E8" w:rsidRDefault="007C5A7F" w:rsidP="007C5A7F">
            <w:pPr>
              <w:rPr>
                <w:iCs/>
              </w:rPr>
            </w:pPr>
            <w:r w:rsidRPr="000701E8">
              <w:rPr>
                <w:iCs/>
              </w:rPr>
              <w:t>4</w:t>
            </w:r>
          </w:p>
        </w:tc>
        <w:tc>
          <w:tcPr>
            <w:tcW w:w="1388" w:type="dxa"/>
            <w:tcBorders>
              <w:top w:val="outset" w:sz="6" w:space="0" w:color="auto"/>
              <w:left w:val="outset" w:sz="6" w:space="0" w:color="auto"/>
              <w:bottom w:val="outset" w:sz="6" w:space="0" w:color="auto"/>
              <w:right w:val="outset" w:sz="6" w:space="0" w:color="auto"/>
            </w:tcBorders>
            <w:vAlign w:val="center"/>
            <w:hideMark/>
          </w:tcPr>
          <w:p w14:paraId="5FEC64DA" w14:textId="77777777" w:rsidR="007C5A7F" w:rsidRPr="000701E8" w:rsidRDefault="007C5A7F" w:rsidP="007C5A7F">
            <w:pPr>
              <w:rPr>
                <w:iCs/>
              </w:rPr>
            </w:pPr>
            <w:r w:rsidRPr="000701E8">
              <w:rPr>
                <w:iCs/>
              </w:rPr>
              <w:t>5</w:t>
            </w:r>
          </w:p>
        </w:tc>
        <w:tc>
          <w:tcPr>
            <w:tcW w:w="1246" w:type="dxa"/>
            <w:tcBorders>
              <w:top w:val="outset" w:sz="6" w:space="0" w:color="auto"/>
              <w:left w:val="outset" w:sz="6" w:space="0" w:color="auto"/>
              <w:bottom w:val="outset" w:sz="6" w:space="0" w:color="auto"/>
              <w:right w:val="outset" w:sz="6" w:space="0" w:color="auto"/>
            </w:tcBorders>
            <w:vAlign w:val="center"/>
            <w:hideMark/>
          </w:tcPr>
          <w:p w14:paraId="0AE5E254" w14:textId="77777777" w:rsidR="007C5A7F" w:rsidRPr="000701E8" w:rsidRDefault="007C5A7F" w:rsidP="007C5A7F">
            <w:pPr>
              <w:rPr>
                <w:iCs/>
              </w:rPr>
            </w:pPr>
            <w:r w:rsidRPr="000701E8">
              <w:rPr>
                <w:iCs/>
              </w:rPr>
              <w:t>6</w:t>
            </w:r>
          </w:p>
        </w:tc>
        <w:tc>
          <w:tcPr>
            <w:tcW w:w="962" w:type="dxa"/>
            <w:tcBorders>
              <w:top w:val="outset" w:sz="6" w:space="0" w:color="auto"/>
              <w:left w:val="outset" w:sz="6" w:space="0" w:color="auto"/>
              <w:bottom w:val="outset" w:sz="6" w:space="0" w:color="auto"/>
              <w:right w:val="outset" w:sz="6" w:space="0" w:color="auto"/>
            </w:tcBorders>
            <w:vAlign w:val="center"/>
            <w:hideMark/>
          </w:tcPr>
          <w:p w14:paraId="30286FE8" w14:textId="77777777" w:rsidR="007C5A7F" w:rsidRPr="000701E8" w:rsidRDefault="007C5A7F" w:rsidP="007C5A7F">
            <w:pPr>
              <w:rPr>
                <w:iCs/>
              </w:rPr>
            </w:pPr>
            <w:r w:rsidRPr="000701E8">
              <w:rPr>
                <w:iCs/>
              </w:rPr>
              <w:t>7</w:t>
            </w:r>
          </w:p>
        </w:tc>
        <w:tc>
          <w:tcPr>
            <w:tcW w:w="1373" w:type="dxa"/>
            <w:tcBorders>
              <w:top w:val="outset" w:sz="6" w:space="0" w:color="auto"/>
              <w:left w:val="outset" w:sz="6" w:space="0" w:color="auto"/>
              <w:bottom w:val="outset" w:sz="6" w:space="0" w:color="auto"/>
              <w:right w:val="outset" w:sz="6" w:space="0" w:color="auto"/>
            </w:tcBorders>
            <w:vAlign w:val="center"/>
            <w:hideMark/>
          </w:tcPr>
          <w:p w14:paraId="1A59E463" w14:textId="77777777" w:rsidR="007C5A7F" w:rsidRPr="000701E8" w:rsidRDefault="007C5A7F" w:rsidP="007C5A7F">
            <w:pPr>
              <w:rPr>
                <w:iCs/>
              </w:rPr>
            </w:pPr>
            <w:r w:rsidRPr="000701E8">
              <w:rPr>
                <w:iCs/>
              </w:rPr>
              <w:t>8</w:t>
            </w:r>
          </w:p>
        </w:tc>
      </w:tr>
      <w:tr w:rsidR="00461EED" w:rsidRPr="000701E8" w14:paraId="5A089273"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33D56FCD" w14:textId="77777777" w:rsidR="007C5A7F" w:rsidRPr="000701E8" w:rsidRDefault="007C5A7F" w:rsidP="007C5A7F">
            <w:pPr>
              <w:rPr>
                <w:iCs/>
              </w:rPr>
            </w:pPr>
            <w:r w:rsidRPr="000701E8">
              <w:rPr>
                <w:iCs/>
              </w:rPr>
              <w:t>1. Budžeta ieņēmumi</w:t>
            </w:r>
          </w:p>
        </w:tc>
        <w:tc>
          <w:tcPr>
            <w:tcW w:w="1246" w:type="dxa"/>
            <w:tcBorders>
              <w:top w:val="outset" w:sz="6" w:space="0" w:color="auto"/>
              <w:left w:val="outset" w:sz="6" w:space="0" w:color="auto"/>
              <w:bottom w:val="outset" w:sz="6" w:space="0" w:color="auto"/>
              <w:right w:val="outset" w:sz="6" w:space="0" w:color="auto"/>
            </w:tcBorders>
            <w:vAlign w:val="center"/>
            <w:hideMark/>
          </w:tcPr>
          <w:p w14:paraId="1E2EE6BD" w14:textId="4DF2B9D9" w:rsidR="007C5A7F" w:rsidRPr="00205FCA" w:rsidRDefault="00675F43" w:rsidP="007C5A7F">
            <w:pPr>
              <w:rPr>
                <w:iCs/>
                <w:sz w:val="22"/>
                <w:szCs w:val="22"/>
              </w:rPr>
            </w:pPr>
            <w:r>
              <w:rPr>
                <w:iCs/>
                <w:sz w:val="22"/>
                <w:szCs w:val="22"/>
              </w:rPr>
              <w:t>4 720 407</w:t>
            </w:r>
          </w:p>
        </w:tc>
        <w:tc>
          <w:tcPr>
            <w:tcW w:w="1103" w:type="dxa"/>
            <w:tcBorders>
              <w:top w:val="outset" w:sz="6" w:space="0" w:color="auto"/>
              <w:left w:val="outset" w:sz="6" w:space="0" w:color="auto"/>
              <w:bottom w:val="outset" w:sz="6" w:space="0" w:color="auto"/>
              <w:right w:val="outset" w:sz="6" w:space="0" w:color="auto"/>
            </w:tcBorders>
            <w:vAlign w:val="center"/>
            <w:hideMark/>
          </w:tcPr>
          <w:p w14:paraId="08569D48" w14:textId="77777777" w:rsidR="007C5A7F" w:rsidRPr="00205FCA" w:rsidRDefault="007C5A7F" w:rsidP="007C5A7F">
            <w:pPr>
              <w:rPr>
                <w:iCs/>
                <w:sz w:val="22"/>
                <w:szCs w:val="22"/>
              </w:rPr>
            </w:pPr>
            <w:r w:rsidRPr="00205FCA">
              <w:rPr>
                <w:iCs/>
                <w:sz w:val="22"/>
                <w:szCs w:val="22"/>
              </w:rPr>
              <w:t> 0</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DDC849B" w14:textId="1BF3503D" w:rsidR="00675F43" w:rsidRPr="00205FCA" w:rsidRDefault="007C5A7F" w:rsidP="00B30FA5">
            <w:pPr>
              <w:rPr>
                <w:iCs/>
                <w:sz w:val="22"/>
                <w:szCs w:val="22"/>
              </w:rPr>
            </w:pPr>
            <w:r w:rsidRPr="00205FCA">
              <w:rPr>
                <w:iCs/>
                <w:sz w:val="22"/>
                <w:szCs w:val="22"/>
              </w:rPr>
              <w:t> </w:t>
            </w:r>
            <w:r w:rsidR="00675F43">
              <w:rPr>
                <w:iCs/>
                <w:sz w:val="22"/>
                <w:szCs w:val="22"/>
              </w:rPr>
              <w:t>31 819 138</w:t>
            </w:r>
          </w:p>
        </w:tc>
        <w:tc>
          <w:tcPr>
            <w:tcW w:w="1388" w:type="dxa"/>
            <w:tcBorders>
              <w:top w:val="outset" w:sz="6" w:space="0" w:color="auto"/>
              <w:left w:val="outset" w:sz="6" w:space="0" w:color="auto"/>
              <w:bottom w:val="outset" w:sz="6" w:space="0" w:color="auto"/>
              <w:right w:val="outset" w:sz="6" w:space="0" w:color="auto"/>
            </w:tcBorders>
            <w:vAlign w:val="center"/>
            <w:hideMark/>
          </w:tcPr>
          <w:p w14:paraId="0FD82A05" w14:textId="77777777" w:rsidR="007C5A7F" w:rsidRPr="00205FCA" w:rsidRDefault="007C5A7F" w:rsidP="007C5A7F">
            <w:pPr>
              <w:rPr>
                <w:iCs/>
                <w:sz w:val="22"/>
                <w:szCs w:val="22"/>
              </w:rPr>
            </w:pPr>
            <w:r w:rsidRPr="00205FCA">
              <w:rPr>
                <w:iCs/>
                <w:sz w:val="22"/>
                <w:szCs w:val="22"/>
              </w:rPr>
              <w:t> 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72D0B118" w14:textId="38C89059" w:rsidR="00675F43" w:rsidRPr="00205FCA" w:rsidRDefault="00675F43" w:rsidP="007C5A7F">
            <w:pPr>
              <w:rPr>
                <w:iCs/>
                <w:sz w:val="22"/>
                <w:szCs w:val="22"/>
              </w:rPr>
            </w:pPr>
            <w:r>
              <w:rPr>
                <w:iCs/>
                <w:sz w:val="22"/>
                <w:szCs w:val="22"/>
              </w:rPr>
              <w:t>50 113 387</w:t>
            </w:r>
          </w:p>
        </w:tc>
        <w:tc>
          <w:tcPr>
            <w:tcW w:w="962" w:type="dxa"/>
            <w:tcBorders>
              <w:top w:val="outset" w:sz="6" w:space="0" w:color="auto"/>
              <w:left w:val="outset" w:sz="6" w:space="0" w:color="auto"/>
              <w:bottom w:val="outset" w:sz="6" w:space="0" w:color="auto"/>
              <w:right w:val="outset" w:sz="6" w:space="0" w:color="auto"/>
            </w:tcBorders>
            <w:vAlign w:val="center"/>
            <w:hideMark/>
          </w:tcPr>
          <w:p w14:paraId="4B26D729" w14:textId="77777777" w:rsidR="007C5A7F" w:rsidRPr="00205FCA" w:rsidRDefault="007C5A7F" w:rsidP="007C5A7F">
            <w:pPr>
              <w:rPr>
                <w:iCs/>
                <w:sz w:val="22"/>
                <w:szCs w:val="22"/>
              </w:rPr>
            </w:pPr>
            <w:r w:rsidRPr="00205FCA">
              <w:rPr>
                <w:iCs/>
                <w:sz w:val="22"/>
                <w:szCs w:val="22"/>
              </w:rPr>
              <w:t> 0</w:t>
            </w:r>
          </w:p>
        </w:tc>
        <w:tc>
          <w:tcPr>
            <w:tcW w:w="1373" w:type="dxa"/>
            <w:tcBorders>
              <w:top w:val="outset" w:sz="6" w:space="0" w:color="auto"/>
              <w:left w:val="outset" w:sz="6" w:space="0" w:color="auto"/>
              <w:bottom w:val="outset" w:sz="6" w:space="0" w:color="auto"/>
              <w:right w:val="outset" w:sz="6" w:space="0" w:color="auto"/>
            </w:tcBorders>
            <w:vAlign w:val="center"/>
            <w:hideMark/>
          </w:tcPr>
          <w:p w14:paraId="2C191A09" w14:textId="24242BB7" w:rsidR="00675F43" w:rsidRPr="00782EA0" w:rsidRDefault="00662A23" w:rsidP="00782EA0">
            <w:pPr>
              <w:rPr>
                <w:iCs/>
                <w:sz w:val="22"/>
                <w:szCs w:val="22"/>
              </w:rPr>
            </w:pPr>
            <w:r>
              <w:rPr>
                <w:iCs/>
                <w:sz w:val="22"/>
                <w:szCs w:val="22"/>
              </w:rPr>
              <w:t>-</w:t>
            </w:r>
            <w:r w:rsidR="00675F43">
              <w:rPr>
                <w:iCs/>
                <w:sz w:val="22"/>
                <w:szCs w:val="22"/>
              </w:rPr>
              <w:t>12 998 69</w:t>
            </w:r>
            <w:r w:rsidR="008C25AD">
              <w:rPr>
                <w:iCs/>
                <w:sz w:val="22"/>
                <w:szCs w:val="22"/>
              </w:rPr>
              <w:t>9</w:t>
            </w:r>
          </w:p>
        </w:tc>
      </w:tr>
      <w:tr w:rsidR="00675F43" w:rsidRPr="000701E8" w14:paraId="005C6B11"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15E7350C" w14:textId="77777777" w:rsidR="00675F43" w:rsidRPr="000701E8" w:rsidRDefault="00675F43" w:rsidP="00675F43">
            <w:pPr>
              <w:rPr>
                <w:iCs/>
              </w:rPr>
            </w:pPr>
            <w:r w:rsidRPr="000701E8">
              <w:rPr>
                <w:iCs/>
              </w:rPr>
              <w:t xml:space="preserve">1.1. valsts pamatbudžets, tai skaitā ieņēmumi no maksas pakalpojumiem </w:t>
            </w:r>
            <w:r w:rsidRPr="000701E8">
              <w:rPr>
                <w:iCs/>
              </w:rPr>
              <w:lastRenderedPageBreak/>
              <w:t>un citi pašu ieņēmumi</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1EADD15" w14:textId="21463AB0" w:rsidR="00675F43" w:rsidRPr="00B30FA5" w:rsidRDefault="00675F43" w:rsidP="00675F43">
            <w:pPr>
              <w:rPr>
                <w:iCs/>
                <w:sz w:val="22"/>
                <w:szCs w:val="22"/>
              </w:rPr>
            </w:pPr>
            <w:r>
              <w:rPr>
                <w:iCs/>
                <w:sz w:val="22"/>
                <w:szCs w:val="22"/>
              </w:rPr>
              <w:lastRenderedPageBreak/>
              <w:t>4 720 407</w:t>
            </w:r>
          </w:p>
        </w:tc>
        <w:tc>
          <w:tcPr>
            <w:tcW w:w="1103" w:type="dxa"/>
            <w:tcBorders>
              <w:top w:val="outset" w:sz="6" w:space="0" w:color="auto"/>
              <w:left w:val="outset" w:sz="6" w:space="0" w:color="auto"/>
              <w:bottom w:val="outset" w:sz="6" w:space="0" w:color="auto"/>
              <w:right w:val="outset" w:sz="6" w:space="0" w:color="auto"/>
            </w:tcBorders>
            <w:vAlign w:val="center"/>
            <w:hideMark/>
          </w:tcPr>
          <w:p w14:paraId="0A3052A9" w14:textId="391263F8" w:rsidR="00675F43" w:rsidRPr="000701E8" w:rsidRDefault="00675F43" w:rsidP="00675F43">
            <w:pPr>
              <w:rPr>
                <w:iCs/>
              </w:rPr>
            </w:pPr>
            <w:r w:rsidRPr="00205FCA">
              <w:rPr>
                <w:iCs/>
                <w:sz w:val="22"/>
                <w:szCs w:val="22"/>
              </w:rPr>
              <w:t> 0</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ADFE3AD" w14:textId="1709784F" w:rsidR="00675F43" w:rsidRPr="00B30FA5" w:rsidRDefault="00675F43" w:rsidP="00675F43">
            <w:pPr>
              <w:rPr>
                <w:iCs/>
                <w:sz w:val="22"/>
                <w:szCs w:val="22"/>
              </w:rPr>
            </w:pPr>
            <w:r w:rsidRPr="00205FCA">
              <w:rPr>
                <w:iCs/>
                <w:sz w:val="22"/>
                <w:szCs w:val="22"/>
              </w:rPr>
              <w:t> </w:t>
            </w:r>
            <w:r>
              <w:rPr>
                <w:iCs/>
                <w:sz w:val="22"/>
                <w:szCs w:val="22"/>
              </w:rPr>
              <w:t>31 819 138</w:t>
            </w:r>
          </w:p>
        </w:tc>
        <w:tc>
          <w:tcPr>
            <w:tcW w:w="1388" w:type="dxa"/>
            <w:tcBorders>
              <w:top w:val="outset" w:sz="6" w:space="0" w:color="auto"/>
              <w:left w:val="outset" w:sz="6" w:space="0" w:color="auto"/>
              <w:bottom w:val="outset" w:sz="6" w:space="0" w:color="auto"/>
              <w:right w:val="outset" w:sz="6" w:space="0" w:color="auto"/>
            </w:tcBorders>
            <w:vAlign w:val="center"/>
            <w:hideMark/>
          </w:tcPr>
          <w:p w14:paraId="7A2E4C38" w14:textId="39DC3460" w:rsidR="00675F43" w:rsidRPr="000701E8" w:rsidRDefault="00675F43" w:rsidP="00675F43">
            <w:pPr>
              <w:rPr>
                <w:iCs/>
              </w:rPr>
            </w:pPr>
            <w:r w:rsidRPr="00205FCA">
              <w:rPr>
                <w:iCs/>
                <w:sz w:val="22"/>
                <w:szCs w:val="22"/>
              </w:rPr>
              <w:t> 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5D2F0198" w14:textId="5E792192" w:rsidR="00675F43" w:rsidRPr="00B30FA5" w:rsidRDefault="00675F43" w:rsidP="00675F43">
            <w:pPr>
              <w:rPr>
                <w:iCs/>
                <w:sz w:val="22"/>
                <w:szCs w:val="22"/>
              </w:rPr>
            </w:pPr>
            <w:r w:rsidRPr="00205FCA">
              <w:rPr>
                <w:iCs/>
                <w:sz w:val="22"/>
                <w:szCs w:val="22"/>
              </w:rPr>
              <w:t> </w:t>
            </w:r>
            <w:r>
              <w:rPr>
                <w:iCs/>
                <w:sz w:val="22"/>
                <w:szCs w:val="22"/>
              </w:rPr>
              <w:t>50 113 387</w:t>
            </w:r>
          </w:p>
        </w:tc>
        <w:tc>
          <w:tcPr>
            <w:tcW w:w="962" w:type="dxa"/>
            <w:tcBorders>
              <w:top w:val="outset" w:sz="6" w:space="0" w:color="auto"/>
              <w:left w:val="outset" w:sz="6" w:space="0" w:color="auto"/>
              <w:bottom w:val="outset" w:sz="6" w:space="0" w:color="auto"/>
              <w:right w:val="outset" w:sz="6" w:space="0" w:color="auto"/>
            </w:tcBorders>
            <w:vAlign w:val="center"/>
            <w:hideMark/>
          </w:tcPr>
          <w:p w14:paraId="6F5D0ACB" w14:textId="1D684C5D" w:rsidR="00675F43" w:rsidRPr="000701E8" w:rsidRDefault="00675F43" w:rsidP="00675F43">
            <w:pPr>
              <w:rPr>
                <w:iCs/>
              </w:rPr>
            </w:pPr>
            <w:r w:rsidRPr="00205FCA">
              <w:rPr>
                <w:iCs/>
                <w:sz w:val="22"/>
                <w:szCs w:val="22"/>
              </w:rPr>
              <w:t> 0</w:t>
            </w:r>
          </w:p>
        </w:tc>
        <w:tc>
          <w:tcPr>
            <w:tcW w:w="1373" w:type="dxa"/>
            <w:tcBorders>
              <w:top w:val="outset" w:sz="6" w:space="0" w:color="auto"/>
              <w:left w:val="outset" w:sz="6" w:space="0" w:color="auto"/>
              <w:bottom w:val="outset" w:sz="6" w:space="0" w:color="auto"/>
              <w:right w:val="outset" w:sz="6" w:space="0" w:color="auto"/>
            </w:tcBorders>
            <w:vAlign w:val="center"/>
            <w:hideMark/>
          </w:tcPr>
          <w:p w14:paraId="5F740122" w14:textId="18ED92E0" w:rsidR="00675F43" w:rsidRPr="00B30FA5" w:rsidRDefault="00675F43" w:rsidP="00675F43">
            <w:pPr>
              <w:rPr>
                <w:iCs/>
                <w:sz w:val="22"/>
                <w:szCs w:val="22"/>
              </w:rPr>
            </w:pPr>
            <w:r>
              <w:rPr>
                <w:iCs/>
                <w:sz w:val="22"/>
                <w:szCs w:val="22"/>
              </w:rPr>
              <w:t> </w:t>
            </w:r>
            <w:r w:rsidR="00662A23">
              <w:rPr>
                <w:iCs/>
                <w:sz w:val="22"/>
                <w:szCs w:val="22"/>
              </w:rPr>
              <w:t>-</w:t>
            </w:r>
            <w:r>
              <w:rPr>
                <w:iCs/>
                <w:sz w:val="22"/>
                <w:szCs w:val="22"/>
              </w:rPr>
              <w:t>12 998 69</w:t>
            </w:r>
            <w:r w:rsidR="008C25AD">
              <w:rPr>
                <w:iCs/>
                <w:sz w:val="22"/>
                <w:szCs w:val="22"/>
              </w:rPr>
              <w:t>9</w:t>
            </w:r>
          </w:p>
        </w:tc>
      </w:tr>
      <w:tr w:rsidR="00461EED" w:rsidRPr="000701E8" w14:paraId="451B1644"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74842C5C" w14:textId="77777777" w:rsidR="007C5A7F" w:rsidRPr="000701E8" w:rsidRDefault="007C5A7F" w:rsidP="007C5A7F">
            <w:pPr>
              <w:rPr>
                <w:iCs/>
              </w:rPr>
            </w:pPr>
            <w:r w:rsidRPr="000701E8">
              <w:rPr>
                <w:iCs/>
              </w:rPr>
              <w:t>1.2. valsts speciālais budžets</w:t>
            </w:r>
          </w:p>
        </w:tc>
        <w:tc>
          <w:tcPr>
            <w:tcW w:w="1246" w:type="dxa"/>
            <w:tcBorders>
              <w:top w:val="outset" w:sz="6" w:space="0" w:color="auto"/>
              <w:left w:val="outset" w:sz="6" w:space="0" w:color="auto"/>
              <w:bottom w:val="outset" w:sz="6" w:space="0" w:color="auto"/>
              <w:right w:val="outset" w:sz="6" w:space="0" w:color="auto"/>
            </w:tcBorders>
            <w:vAlign w:val="center"/>
            <w:hideMark/>
          </w:tcPr>
          <w:p w14:paraId="0DA6C6AE" w14:textId="0007512E" w:rsidR="007C5A7F" w:rsidRPr="000701E8" w:rsidRDefault="007C5A7F" w:rsidP="007C5A7F">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vAlign w:val="center"/>
            <w:hideMark/>
          </w:tcPr>
          <w:p w14:paraId="5220A972" w14:textId="77777777" w:rsidR="007C5A7F" w:rsidRPr="000701E8" w:rsidRDefault="007C5A7F" w:rsidP="007C5A7F">
            <w:pPr>
              <w:rPr>
                <w:iCs/>
              </w:rPr>
            </w:pPr>
            <w:r w:rsidRPr="000701E8">
              <w:rPr>
                <w:iCs/>
              </w:rPr>
              <w:t> 0</w:t>
            </w:r>
          </w:p>
        </w:tc>
        <w:tc>
          <w:tcPr>
            <w:tcW w:w="1245" w:type="dxa"/>
            <w:tcBorders>
              <w:top w:val="outset" w:sz="6" w:space="0" w:color="auto"/>
              <w:left w:val="outset" w:sz="6" w:space="0" w:color="auto"/>
              <w:bottom w:val="outset" w:sz="6" w:space="0" w:color="auto"/>
              <w:right w:val="outset" w:sz="6" w:space="0" w:color="auto"/>
            </w:tcBorders>
            <w:hideMark/>
          </w:tcPr>
          <w:p w14:paraId="4A116902" w14:textId="77777777" w:rsidR="007C5A7F" w:rsidRPr="000701E8" w:rsidRDefault="007C5A7F" w:rsidP="007C5A7F">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18F64F77"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3C5344A0" w14:textId="77777777" w:rsidR="007C5A7F" w:rsidRPr="000701E8" w:rsidRDefault="007C5A7F" w:rsidP="007C5A7F">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617C7109"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7E0947F9" w14:textId="77777777" w:rsidR="007C5A7F" w:rsidRPr="000701E8" w:rsidRDefault="007C5A7F" w:rsidP="007C5A7F">
            <w:pPr>
              <w:rPr>
                <w:iCs/>
              </w:rPr>
            </w:pPr>
            <w:r w:rsidRPr="000701E8">
              <w:rPr>
                <w:iCs/>
              </w:rPr>
              <w:t>0</w:t>
            </w:r>
          </w:p>
        </w:tc>
      </w:tr>
      <w:tr w:rsidR="00461EED" w:rsidRPr="000701E8" w14:paraId="175591C4"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3B31FD74" w14:textId="77777777" w:rsidR="007C5A7F" w:rsidRPr="000701E8" w:rsidRDefault="007C5A7F" w:rsidP="007C5A7F">
            <w:pPr>
              <w:rPr>
                <w:iCs/>
              </w:rPr>
            </w:pPr>
            <w:r w:rsidRPr="000701E8">
              <w:rPr>
                <w:iCs/>
              </w:rPr>
              <w:t>1.3. pašvaldību budžets</w:t>
            </w:r>
          </w:p>
        </w:tc>
        <w:tc>
          <w:tcPr>
            <w:tcW w:w="1246" w:type="dxa"/>
            <w:tcBorders>
              <w:top w:val="outset" w:sz="6" w:space="0" w:color="auto"/>
              <w:left w:val="outset" w:sz="6" w:space="0" w:color="auto"/>
              <w:bottom w:val="outset" w:sz="6" w:space="0" w:color="auto"/>
              <w:right w:val="outset" w:sz="6" w:space="0" w:color="auto"/>
            </w:tcBorders>
            <w:hideMark/>
          </w:tcPr>
          <w:p w14:paraId="07D52150" w14:textId="77777777" w:rsidR="007C5A7F" w:rsidRPr="000701E8" w:rsidRDefault="007C5A7F" w:rsidP="007C5A7F">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hideMark/>
          </w:tcPr>
          <w:p w14:paraId="166BA932" w14:textId="77777777" w:rsidR="007C5A7F" w:rsidRPr="000701E8" w:rsidRDefault="007C5A7F" w:rsidP="007C5A7F">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3B46A04E" w14:textId="77777777" w:rsidR="007C5A7F" w:rsidRPr="000701E8" w:rsidRDefault="007C5A7F" w:rsidP="007C5A7F">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1F80B292"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274F4389" w14:textId="77777777" w:rsidR="007C5A7F" w:rsidRPr="000701E8" w:rsidRDefault="007C5A7F" w:rsidP="007C5A7F">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26DEB6F6"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491DCD30" w14:textId="77777777" w:rsidR="007C5A7F" w:rsidRPr="000701E8" w:rsidRDefault="007C5A7F" w:rsidP="007C5A7F">
            <w:pPr>
              <w:rPr>
                <w:iCs/>
              </w:rPr>
            </w:pPr>
            <w:r w:rsidRPr="000701E8">
              <w:rPr>
                <w:iCs/>
              </w:rPr>
              <w:t>0</w:t>
            </w:r>
          </w:p>
        </w:tc>
      </w:tr>
      <w:tr w:rsidR="00675F43" w:rsidRPr="000701E8" w14:paraId="4342D8FE"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48C5D230" w14:textId="77777777" w:rsidR="00675F43" w:rsidRPr="000701E8" w:rsidRDefault="00675F43" w:rsidP="00675F43">
            <w:pPr>
              <w:rPr>
                <w:iCs/>
              </w:rPr>
            </w:pPr>
            <w:r w:rsidRPr="000701E8">
              <w:rPr>
                <w:iCs/>
              </w:rPr>
              <w:t>2. Budžeta izdevumi</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81D47F0" w14:textId="795935DC" w:rsidR="00675F43" w:rsidRPr="00205FCA" w:rsidRDefault="00675F43" w:rsidP="00675F43">
            <w:pPr>
              <w:rPr>
                <w:iCs/>
                <w:sz w:val="22"/>
                <w:szCs w:val="22"/>
              </w:rPr>
            </w:pPr>
            <w:r>
              <w:rPr>
                <w:iCs/>
                <w:sz w:val="22"/>
                <w:szCs w:val="22"/>
              </w:rPr>
              <w:t>4 720 407</w:t>
            </w:r>
          </w:p>
        </w:tc>
        <w:tc>
          <w:tcPr>
            <w:tcW w:w="1103" w:type="dxa"/>
            <w:tcBorders>
              <w:top w:val="outset" w:sz="6" w:space="0" w:color="auto"/>
              <w:left w:val="outset" w:sz="6" w:space="0" w:color="auto"/>
              <w:bottom w:val="outset" w:sz="6" w:space="0" w:color="auto"/>
              <w:right w:val="outset" w:sz="6" w:space="0" w:color="auto"/>
            </w:tcBorders>
            <w:vAlign w:val="center"/>
            <w:hideMark/>
          </w:tcPr>
          <w:p w14:paraId="465DAD7C" w14:textId="73DF9FCC" w:rsidR="00675F43" w:rsidRPr="00205FCA" w:rsidRDefault="00675F43" w:rsidP="00675F43">
            <w:pPr>
              <w:rPr>
                <w:iCs/>
                <w:sz w:val="22"/>
                <w:szCs w:val="22"/>
              </w:rPr>
            </w:pPr>
            <w:r w:rsidRPr="00205FCA">
              <w:rPr>
                <w:iCs/>
                <w:sz w:val="22"/>
                <w:szCs w:val="22"/>
              </w:rPr>
              <w:t> 0</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2D54C16" w14:textId="7DB4A7C0" w:rsidR="00675F43" w:rsidRPr="00205FCA" w:rsidRDefault="00675F43" w:rsidP="00675F43">
            <w:pPr>
              <w:rPr>
                <w:iCs/>
                <w:sz w:val="22"/>
                <w:szCs w:val="22"/>
              </w:rPr>
            </w:pPr>
            <w:r w:rsidRPr="00205FCA">
              <w:rPr>
                <w:iCs/>
                <w:sz w:val="22"/>
                <w:szCs w:val="22"/>
              </w:rPr>
              <w:t> </w:t>
            </w:r>
            <w:r>
              <w:rPr>
                <w:iCs/>
                <w:sz w:val="22"/>
                <w:szCs w:val="22"/>
              </w:rPr>
              <w:t>31 819 138</w:t>
            </w:r>
          </w:p>
        </w:tc>
        <w:tc>
          <w:tcPr>
            <w:tcW w:w="1388" w:type="dxa"/>
            <w:tcBorders>
              <w:top w:val="outset" w:sz="6" w:space="0" w:color="auto"/>
              <w:left w:val="outset" w:sz="6" w:space="0" w:color="auto"/>
              <w:bottom w:val="outset" w:sz="6" w:space="0" w:color="auto"/>
              <w:right w:val="outset" w:sz="6" w:space="0" w:color="auto"/>
            </w:tcBorders>
            <w:vAlign w:val="center"/>
            <w:hideMark/>
          </w:tcPr>
          <w:p w14:paraId="1BD499E6" w14:textId="2661B4E4" w:rsidR="00675F43" w:rsidRPr="00205FCA" w:rsidRDefault="00675F43" w:rsidP="00675F43">
            <w:pPr>
              <w:rPr>
                <w:iCs/>
                <w:sz w:val="22"/>
                <w:szCs w:val="22"/>
              </w:rPr>
            </w:pPr>
            <w:r w:rsidRPr="00205FCA">
              <w:rPr>
                <w:iCs/>
                <w:sz w:val="22"/>
                <w:szCs w:val="22"/>
              </w:rPr>
              <w:t> 0</w:t>
            </w:r>
          </w:p>
        </w:tc>
        <w:tc>
          <w:tcPr>
            <w:tcW w:w="1246" w:type="dxa"/>
            <w:tcBorders>
              <w:top w:val="outset" w:sz="6" w:space="0" w:color="auto"/>
              <w:left w:val="outset" w:sz="6" w:space="0" w:color="auto"/>
              <w:bottom w:val="outset" w:sz="6" w:space="0" w:color="auto"/>
              <w:right w:val="outset" w:sz="6" w:space="0" w:color="auto"/>
            </w:tcBorders>
            <w:vAlign w:val="center"/>
            <w:hideMark/>
          </w:tcPr>
          <w:p w14:paraId="4620BEFB" w14:textId="0520FF97" w:rsidR="00675F43" w:rsidRPr="00205FCA" w:rsidRDefault="00675F43" w:rsidP="00675F43">
            <w:pPr>
              <w:rPr>
                <w:iCs/>
                <w:sz w:val="22"/>
                <w:szCs w:val="22"/>
              </w:rPr>
            </w:pPr>
            <w:r w:rsidRPr="00205FCA">
              <w:rPr>
                <w:iCs/>
                <w:sz w:val="22"/>
                <w:szCs w:val="22"/>
              </w:rPr>
              <w:t> </w:t>
            </w:r>
            <w:r>
              <w:rPr>
                <w:iCs/>
                <w:sz w:val="22"/>
                <w:szCs w:val="22"/>
              </w:rPr>
              <w:t>50 113 387</w:t>
            </w:r>
          </w:p>
        </w:tc>
        <w:tc>
          <w:tcPr>
            <w:tcW w:w="962" w:type="dxa"/>
            <w:tcBorders>
              <w:top w:val="outset" w:sz="6" w:space="0" w:color="auto"/>
              <w:left w:val="outset" w:sz="6" w:space="0" w:color="auto"/>
              <w:bottom w:val="outset" w:sz="6" w:space="0" w:color="auto"/>
              <w:right w:val="outset" w:sz="6" w:space="0" w:color="auto"/>
            </w:tcBorders>
            <w:vAlign w:val="center"/>
            <w:hideMark/>
          </w:tcPr>
          <w:p w14:paraId="714B8663" w14:textId="72BD5946" w:rsidR="00675F43" w:rsidRPr="00205FCA" w:rsidRDefault="00675F43" w:rsidP="00675F43">
            <w:pPr>
              <w:rPr>
                <w:iCs/>
                <w:sz w:val="22"/>
                <w:szCs w:val="22"/>
              </w:rPr>
            </w:pPr>
            <w:r w:rsidRPr="00205FCA">
              <w:rPr>
                <w:iCs/>
                <w:sz w:val="22"/>
                <w:szCs w:val="22"/>
              </w:rPr>
              <w:t> 0</w:t>
            </w:r>
          </w:p>
        </w:tc>
        <w:tc>
          <w:tcPr>
            <w:tcW w:w="1373" w:type="dxa"/>
            <w:tcBorders>
              <w:top w:val="outset" w:sz="6" w:space="0" w:color="auto"/>
              <w:left w:val="outset" w:sz="6" w:space="0" w:color="auto"/>
              <w:bottom w:val="outset" w:sz="6" w:space="0" w:color="auto"/>
              <w:right w:val="outset" w:sz="6" w:space="0" w:color="auto"/>
            </w:tcBorders>
            <w:vAlign w:val="center"/>
            <w:hideMark/>
          </w:tcPr>
          <w:p w14:paraId="796F70AF" w14:textId="3DC7B9FB" w:rsidR="00675F43" w:rsidRPr="00205FCA" w:rsidRDefault="00675F43" w:rsidP="00675F43">
            <w:pPr>
              <w:rPr>
                <w:iCs/>
                <w:sz w:val="22"/>
                <w:szCs w:val="22"/>
              </w:rPr>
            </w:pPr>
            <w:r>
              <w:rPr>
                <w:iCs/>
                <w:sz w:val="22"/>
                <w:szCs w:val="22"/>
              </w:rPr>
              <w:t> </w:t>
            </w:r>
            <w:r w:rsidR="00D92101">
              <w:rPr>
                <w:iCs/>
                <w:sz w:val="22"/>
                <w:szCs w:val="22"/>
              </w:rPr>
              <w:t>-12 998 69</w:t>
            </w:r>
            <w:r w:rsidR="008C25AD">
              <w:rPr>
                <w:iCs/>
                <w:sz w:val="22"/>
                <w:szCs w:val="22"/>
              </w:rPr>
              <w:t>9</w:t>
            </w:r>
          </w:p>
        </w:tc>
      </w:tr>
      <w:tr w:rsidR="00461EED" w:rsidRPr="000701E8" w14:paraId="2F271D7A"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768B6601" w14:textId="77777777" w:rsidR="007C5A7F" w:rsidRPr="000701E8" w:rsidRDefault="007C5A7F" w:rsidP="007C5A7F">
            <w:pPr>
              <w:rPr>
                <w:iCs/>
              </w:rPr>
            </w:pPr>
            <w:r w:rsidRPr="000701E8">
              <w:rPr>
                <w:iCs/>
              </w:rPr>
              <w:t>2.1. valsts pamatbudžets</w:t>
            </w:r>
          </w:p>
        </w:tc>
        <w:tc>
          <w:tcPr>
            <w:tcW w:w="1246" w:type="dxa"/>
            <w:tcBorders>
              <w:top w:val="outset" w:sz="6" w:space="0" w:color="auto"/>
              <w:left w:val="outset" w:sz="6" w:space="0" w:color="auto"/>
              <w:bottom w:val="outset" w:sz="6" w:space="0" w:color="auto"/>
              <w:right w:val="outset" w:sz="6" w:space="0" w:color="auto"/>
            </w:tcBorders>
            <w:hideMark/>
          </w:tcPr>
          <w:p w14:paraId="5CD53D7B" w14:textId="502E0CDB" w:rsidR="007C5A7F" w:rsidRPr="000701E8" w:rsidRDefault="00EC31BD" w:rsidP="007C5A7F">
            <w:pPr>
              <w:rPr>
                <w:iCs/>
              </w:rPr>
            </w:pPr>
            <w:r>
              <w:rPr>
                <w:iCs/>
                <w:sz w:val="22"/>
                <w:szCs w:val="22"/>
              </w:rPr>
              <w:t>4 720 407</w:t>
            </w:r>
          </w:p>
        </w:tc>
        <w:tc>
          <w:tcPr>
            <w:tcW w:w="1103" w:type="dxa"/>
            <w:tcBorders>
              <w:top w:val="outset" w:sz="6" w:space="0" w:color="auto"/>
              <w:left w:val="outset" w:sz="6" w:space="0" w:color="auto"/>
              <w:bottom w:val="outset" w:sz="6" w:space="0" w:color="auto"/>
              <w:right w:val="outset" w:sz="6" w:space="0" w:color="auto"/>
            </w:tcBorders>
            <w:hideMark/>
          </w:tcPr>
          <w:p w14:paraId="7BA4811B" w14:textId="77777777" w:rsidR="007C5A7F" w:rsidRPr="000701E8" w:rsidRDefault="007C5A7F" w:rsidP="007C5A7F">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70F9D873" w14:textId="11B00E85" w:rsidR="007C5A7F" w:rsidRPr="000701E8" w:rsidRDefault="00224AD5" w:rsidP="007C5A7F">
            <w:pPr>
              <w:rPr>
                <w:iCs/>
              </w:rPr>
            </w:pPr>
            <w:r>
              <w:rPr>
                <w:iCs/>
                <w:sz w:val="22"/>
                <w:szCs w:val="22"/>
              </w:rPr>
              <w:t>31 819 138</w:t>
            </w:r>
          </w:p>
        </w:tc>
        <w:tc>
          <w:tcPr>
            <w:tcW w:w="1388" w:type="dxa"/>
            <w:tcBorders>
              <w:top w:val="outset" w:sz="6" w:space="0" w:color="auto"/>
              <w:left w:val="outset" w:sz="6" w:space="0" w:color="auto"/>
              <w:bottom w:val="outset" w:sz="6" w:space="0" w:color="auto"/>
              <w:right w:val="outset" w:sz="6" w:space="0" w:color="auto"/>
            </w:tcBorders>
            <w:hideMark/>
          </w:tcPr>
          <w:p w14:paraId="3BF1A67E"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408D0D36" w14:textId="2A29B971" w:rsidR="007C5A7F" w:rsidRPr="000701E8" w:rsidRDefault="00224AD5" w:rsidP="007C5A7F">
            <w:pPr>
              <w:rPr>
                <w:iCs/>
              </w:rPr>
            </w:pPr>
            <w:r>
              <w:rPr>
                <w:iCs/>
                <w:sz w:val="22"/>
                <w:szCs w:val="22"/>
              </w:rPr>
              <w:t>50 113 387</w:t>
            </w:r>
          </w:p>
        </w:tc>
        <w:tc>
          <w:tcPr>
            <w:tcW w:w="962" w:type="dxa"/>
            <w:tcBorders>
              <w:top w:val="outset" w:sz="6" w:space="0" w:color="auto"/>
              <w:left w:val="outset" w:sz="6" w:space="0" w:color="auto"/>
              <w:bottom w:val="outset" w:sz="6" w:space="0" w:color="auto"/>
              <w:right w:val="outset" w:sz="6" w:space="0" w:color="auto"/>
            </w:tcBorders>
            <w:hideMark/>
          </w:tcPr>
          <w:p w14:paraId="7E40977F"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0F00DCE6" w14:textId="75DCBA93" w:rsidR="007C5A7F" w:rsidRPr="000701E8" w:rsidRDefault="00D92101" w:rsidP="007C5A7F">
            <w:pPr>
              <w:rPr>
                <w:iCs/>
              </w:rPr>
            </w:pPr>
            <w:r>
              <w:rPr>
                <w:iCs/>
                <w:sz w:val="22"/>
                <w:szCs w:val="22"/>
              </w:rPr>
              <w:t>-12 998 69</w:t>
            </w:r>
            <w:r w:rsidR="008C25AD">
              <w:rPr>
                <w:iCs/>
                <w:sz w:val="22"/>
                <w:szCs w:val="22"/>
              </w:rPr>
              <w:t>9</w:t>
            </w:r>
          </w:p>
        </w:tc>
      </w:tr>
      <w:tr w:rsidR="00461EED" w:rsidRPr="000701E8" w14:paraId="01100479"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0AA29476" w14:textId="77777777" w:rsidR="007C5A7F" w:rsidRPr="000701E8" w:rsidRDefault="007C5A7F" w:rsidP="007C5A7F">
            <w:pPr>
              <w:rPr>
                <w:iCs/>
              </w:rPr>
            </w:pPr>
            <w:r w:rsidRPr="000701E8">
              <w:rPr>
                <w:iCs/>
              </w:rPr>
              <w:t>2.2. valsts speciālais budžets</w:t>
            </w:r>
          </w:p>
        </w:tc>
        <w:tc>
          <w:tcPr>
            <w:tcW w:w="1246" w:type="dxa"/>
            <w:tcBorders>
              <w:top w:val="outset" w:sz="6" w:space="0" w:color="auto"/>
              <w:left w:val="outset" w:sz="6" w:space="0" w:color="auto"/>
              <w:bottom w:val="outset" w:sz="6" w:space="0" w:color="auto"/>
              <w:right w:val="outset" w:sz="6" w:space="0" w:color="auto"/>
            </w:tcBorders>
            <w:hideMark/>
          </w:tcPr>
          <w:p w14:paraId="1A261CC1" w14:textId="77777777" w:rsidR="007C5A7F" w:rsidRPr="000701E8" w:rsidRDefault="007C5A7F" w:rsidP="007C5A7F">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hideMark/>
          </w:tcPr>
          <w:p w14:paraId="4329E032" w14:textId="77777777" w:rsidR="007C5A7F" w:rsidRPr="000701E8" w:rsidRDefault="007C5A7F" w:rsidP="007C5A7F">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388AADF7" w14:textId="77777777" w:rsidR="007C5A7F" w:rsidRPr="000701E8" w:rsidRDefault="007C5A7F" w:rsidP="007C5A7F">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3B40A15E"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397B5550" w14:textId="77777777" w:rsidR="007C5A7F" w:rsidRPr="000701E8" w:rsidRDefault="007C5A7F" w:rsidP="007C5A7F">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4B84A073"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3A0C3312" w14:textId="77777777" w:rsidR="007C5A7F" w:rsidRPr="000701E8" w:rsidRDefault="007C5A7F" w:rsidP="007C5A7F">
            <w:pPr>
              <w:rPr>
                <w:iCs/>
              </w:rPr>
            </w:pPr>
            <w:r w:rsidRPr="000701E8">
              <w:rPr>
                <w:iCs/>
              </w:rPr>
              <w:t>0</w:t>
            </w:r>
          </w:p>
        </w:tc>
      </w:tr>
      <w:tr w:rsidR="00461EED" w:rsidRPr="000701E8" w14:paraId="64F507CE"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5E883BA5" w14:textId="77777777" w:rsidR="007C5A7F" w:rsidRPr="000701E8" w:rsidRDefault="007C5A7F" w:rsidP="007C5A7F">
            <w:pPr>
              <w:rPr>
                <w:iCs/>
              </w:rPr>
            </w:pPr>
            <w:r w:rsidRPr="000701E8">
              <w:rPr>
                <w:iCs/>
              </w:rPr>
              <w:t>2.3. pašvaldību budžets</w:t>
            </w:r>
          </w:p>
        </w:tc>
        <w:tc>
          <w:tcPr>
            <w:tcW w:w="1246" w:type="dxa"/>
            <w:tcBorders>
              <w:top w:val="outset" w:sz="6" w:space="0" w:color="auto"/>
              <w:left w:val="outset" w:sz="6" w:space="0" w:color="auto"/>
              <w:bottom w:val="outset" w:sz="6" w:space="0" w:color="auto"/>
              <w:right w:val="outset" w:sz="6" w:space="0" w:color="auto"/>
            </w:tcBorders>
            <w:hideMark/>
          </w:tcPr>
          <w:p w14:paraId="2B6510CB" w14:textId="77777777" w:rsidR="007C5A7F" w:rsidRPr="000701E8" w:rsidRDefault="007C5A7F" w:rsidP="007C5A7F">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hideMark/>
          </w:tcPr>
          <w:p w14:paraId="5F42179B" w14:textId="77777777" w:rsidR="007C5A7F" w:rsidRPr="000701E8" w:rsidRDefault="007C5A7F" w:rsidP="007C5A7F">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059089AD" w14:textId="77777777" w:rsidR="007C5A7F" w:rsidRPr="000701E8" w:rsidRDefault="007C5A7F" w:rsidP="007C5A7F">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14FE68B3"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7F034D00" w14:textId="77777777" w:rsidR="007C5A7F" w:rsidRPr="000701E8" w:rsidRDefault="007C5A7F" w:rsidP="007C5A7F">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3CADFF1F"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7A21277E" w14:textId="77777777" w:rsidR="007C5A7F" w:rsidRPr="000701E8" w:rsidRDefault="007C5A7F" w:rsidP="007C5A7F">
            <w:pPr>
              <w:rPr>
                <w:iCs/>
              </w:rPr>
            </w:pPr>
            <w:r w:rsidRPr="000701E8">
              <w:rPr>
                <w:iCs/>
              </w:rPr>
              <w:t>0</w:t>
            </w:r>
          </w:p>
        </w:tc>
      </w:tr>
      <w:tr w:rsidR="00461EED" w:rsidRPr="000701E8" w14:paraId="7785D97B"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27394D91" w14:textId="77777777" w:rsidR="007C5A7F" w:rsidRPr="000701E8" w:rsidRDefault="007C5A7F" w:rsidP="007C5A7F">
            <w:pPr>
              <w:rPr>
                <w:iCs/>
              </w:rPr>
            </w:pPr>
            <w:r w:rsidRPr="000701E8">
              <w:rPr>
                <w:iCs/>
              </w:rPr>
              <w:t>3. Finansiālā ietekme</w:t>
            </w:r>
          </w:p>
        </w:tc>
        <w:tc>
          <w:tcPr>
            <w:tcW w:w="1246" w:type="dxa"/>
            <w:tcBorders>
              <w:top w:val="outset" w:sz="6" w:space="0" w:color="auto"/>
              <w:left w:val="outset" w:sz="6" w:space="0" w:color="auto"/>
              <w:bottom w:val="outset" w:sz="6" w:space="0" w:color="auto"/>
              <w:right w:val="outset" w:sz="6" w:space="0" w:color="auto"/>
            </w:tcBorders>
            <w:hideMark/>
          </w:tcPr>
          <w:p w14:paraId="5C618472" w14:textId="77777777" w:rsidR="007C5A7F" w:rsidRPr="000701E8" w:rsidRDefault="007C5A7F" w:rsidP="007C5A7F">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hideMark/>
          </w:tcPr>
          <w:p w14:paraId="24230247" w14:textId="77777777" w:rsidR="007C5A7F" w:rsidRPr="000701E8" w:rsidRDefault="007C5A7F" w:rsidP="007C5A7F">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6E1B10BE" w14:textId="77777777" w:rsidR="007C5A7F" w:rsidRPr="000701E8" w:rsidRDefault="007C5A7F" w:rsidP="007C5A7F">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1F5E36A5"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7C6327E3" w14:textId="77777777" w:rsidR="007C5A7F" w:rsidRPr="000701E8" w:rsidRDefault="007C5A7F" w:rsidP="007C5A7F">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02FE2867"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6B60B17C" w14:textId="77777777" w:rsidR="007C5A7F" w:rsidRPr="000701E8" w:rsidRDefault="007C5A7F" w:rsidP="007C5A7F">
            <w:pPr>
              <w:rPr>
                <w:iCs/>
              </w:rPr>
            </w:pPr>
            <w:r w:rsidRPr="000701E8">
              <w:rPr>
                <w:iCs/>
              </w:rPr>
              <w:t>0</w:t>
            </w:r>
          </w:p>
        </w:tc>
      </w:tr>
      <w:tr w:rsidR="00461EED" w:rsidRPr="000701E8" w14:paraId="68F380F4"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64F54921" w14:textId="77777777" w:rsidR="007C5A7F" w:rsidRPr="000701E8" w:rsidRDefault="007C5A7F" w:rsidP="007C5A7F">
            <w:pPr>
              <w:rPr>
                <w:iCs/>
              </w:rPr>
            </w:pPr>
            <w:r w:rsidRPr="000701E8">
              <w:rPr>
                <w:iCs/>
              </w:rPr>
              <w:t>3.1. valsts pamatbudžets</w:t>
            </w:r>
          </w:p>
        </w:tc>
        <w:tc>
          <w:tcPr>
            <w:tcW w:w="1246" w:type="dxa"/>
            <w:tcBorders>
              <w:top w:val="outset" w:sz="6" w:space="0" w:color="auto"/>
              <w:left w:val="outset" w:sz="6" w:space="0" w:color="auto"/>
              <w:bottom w:val="outset" w:sz="6" w:space="0" w:color="auto"/>
              <w:right w:val="outset" w:sz="6" w:space="0" w:color="auto"/>
            </w:tcBorders>
            <w:hideMark/>
          </w:tcPr>
          <w:p w14:paraId="31036429" w14:textId="77777777" w:rsidR="007C5A7F" w:rsidRPr="000701E8" w:rsidRDefault="007C5A7F" w:rsidP="007C5A7F">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hideMark/>
          </w:tcPr>
          <w:p w14:paraId="6A264552" w14:textId="77777777" w:rsidR="007C5A7F" w:rsidRPr="000701E8" w:rsidRDefault="007C5A7F" w:rsidP="007C5A7F">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593E3F1E" w14:textId="77777777" w:rsidR="007C5A7F" w:rsidRPr="000701E8" w:rsidRDefault="007C5A7F" w:rsidP="007C5A7F">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4408440E"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0C27A4FB" w14:textId="77777777" w:rsidR="007C5A7F" w:rsidRPr="000701E8" w:rsidRDefault="007C5A7F" w:rsidP="007C5A7F">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67F0E721"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1FDFD4CD" w14:textId="77777777" w:rsidR="007C5A7F" w:rsidRPr="000701E8" w:rsidRDefault="007C5A7F" w:rsidP="007C5A7F">
            <w:pPr>
              <w:rPr>
                <w:iCs/>
              </w:rPr>
            </w:pPr>
            <w:r w:rsidRPr="000701E8">
              <w:rPr>
                <w:iCs/>
              </w:rPr>
              <w:t>0</w:t>
            </w:r>
          </w:p>
        </w:tc>
      </w:tr>
      <w:tr w:rsidR="00461EED" w:rsidRPr="000701E8" w14:paraId="240B9640"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60A71197" w14:textId="77777777" w:rsidR="007C5A7F" w:rsidRPr="000701E8" w:rsidRDefault="007C5A7F" w:rsidP="007C5A7F">
            <w:pPr>
              <w:rPr>
                <w:iCs/>
              </w:rPr>
            </w:pPr>
            <w:r w:rsidRPr="000701E8">
              <w:rPr>
                <w:iCs/>
              </w:rPr>
              <w:t>3.2. speciālais budžets</w:t>
            </w:r>
          </w:p>
        </w:tc>
        <w:tc>
          <w:tcPr>
            <w:tcW w:w="1246" w:type="dxa"/>
            <w:tcBorders>
              <w:top w:val="outset" w:sz="6" w:space="0" w:color="auto"/>
              <w:left w:val="outset" w:sz="6" w:space="0" w:color="auto"/>
              <w:bottom w:val="outset" w:sz="6" w:space="0" w:color="auto"/>
              <w:right w:val="outset" w:sz="6" w:space="0" w:color="auto"/>
            </w:tcBorders>
            <w:hideMark/>
          </w:tcPr>
          <w:p w14:paraId="045ABEDA" w14:textId="77777777" w:rsidR="007C5A7F" w:rsidRPr="000701E8" w:rsidRDefault="007C5A7F" w:rsidP="007C5A7F">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hideMark/>
          </w:tcPr>
          <w:p w14:paraId="28586160" w14:textId="77777777" w:rsidR="007C5A7F" w:rsidRPr="000701E8" w:rsidRDefault="007C5A7F" w:rsidP="007C5A7F">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619C71D8" w14:textId="77777777" w:rsidR="007C5A7F" w:rsidRPr="000701E8" w:rsidRDefault="007C5A7F" w:rsidP="007C5A7F">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49C860BB"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2733CA0A" w14:textId="77777777" w:rsidR="007C5A7F" w:rsidRPr="000701E8" w:rsidRDefault="007C5A7F" w:rsidP="007C5A7F">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08DAAEE3"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4873F85B" w14:textId="77777777" w:rsidR="007C5A7F" w:rsidRPr="000701E8" w:rsidRDefault="007C5A7F" w:rsidP="007C5A7F">
            <w:pPr>
              <w:rPr>
                <w:iCs/>
              </w:rPr>
            </w:pPr>
            <w:r w:rsidRPr="000701E8">
              <w:rPr>
                <w:iCs/>
              </w:rPr>
              <w:t>0</w:t>
            </w:r>
          </w:p>
        </w:tc>
      </w:tr>
      <w:tr w:rsidR="00461EED" w:rsidRPr="000701E8" w14:paraId="7119B9D7"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6B8FCAE5" w14:textId="77777777" w:rsidR="007C5A7F" w:rsidRPr="000701E8" w:rsidRDefault="007C5A7F" w:rsidP="007C5A7F">
            <w:pPr>
              <w:rPr>
                <w:iCs/>
              </w:rPr>
            </w:pPr>
            <w:r w:rsidRPr="000701E8">
              <w:rPr>
                <w:iCs/>
              </w:rPr>
              <w:t>3.3. pašvaldību budžets</w:t>
            </w:r>
          </w:p>
        </w:tc>
        <w:tc>
          <w:tcPr>
            <w:tcW w:w="1246" w:type="dxa"/>
            <w:tcBorders>
              <w:top w:val="outset" w:sz="6" w:space="0" w:color="auto"/>
              <w:left w:val="outset" w:sz="6" w:space="0" w:color="auto"/>
              <w:bottom w:val="outset" w:sz="6" w:space="0" w:color="auto"/>
              <w:right w:val="outset" w:sz="6" w:space="0" w:color="auto"/>
            </w:tcBorders>
            <w:hideMark/>
          </w:tcPr>
          <w:p w14:paraId="0667B57F" w14:textId="77777777" w:rsidR="007C5A7F" w:rsidRPr="000701E8" w:rsidRDefault="007C5A7F" w:rsidP="007C5A7F">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hideMark/>
          </w:tcPr>
          <w:p w14:paraId="53AA77D1" w14:textId="77777777" w:rsidR="007C5A7F" w:rsidRPr="000701E8" w:rsidRDefault="007C5A7F" w:rsidP="007C5A7F">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4DC36CFC" w14:textId="77777777" w:rsidR="007C5A7F" w:rsidRPr="000701E8" w:rsidRDefault="007C5A7F" w:rsidP="007C5A7F">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5D38D424" w14:textId="77777777" w:rsidR="007C5A7F" w:rsidRPr="000701E8" w:rsidRDefault="007C5A7F" w:rsidP="007C5A7F">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682F45B0" w14:textId="77777777" w:rsidR="007C5A7F" w:rsidRPr="000701E8" w:rsidRDefault="007C5A7F" w:rsidP="007C5A7F">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78915E41" w14:textId="77777777" w:rsidR="007C5A7F" w:rsidRPr="000701E8" w:rsidRDefault="007C5A7F" w:rsidP="007C5A7F">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7BD9E456" w14:textId="77777777" w:rsidR="007C5A7F" w:rsidRPr="000701E8" w:rsidRDefault="007C5A7F" w:rsidP="007C5A7F">
            <w:pPr>
              <w:rPr>
                <w:iCs/>
              </w:rPr>
            </w:pPr>
            <w:r w:rsidRPr="000701E8">
              <w:rPr>
                <w:iCs/>
              </w:rPr>
              <w:t>0</w:t>
            </w:r>
          </w:p>
        </w:tc>
      </w:tr>
      <w:tr w:rsidR="00461EED" w:rsidRPr="000701E8" w14:paraId="2992628D"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02FB5E07" w14:textId="77777777" w:rsidR="007C5A7F" w:rsidRPr="000701E8" w:rsidRDefault="007C5A7F" w:rsidP="007C5A7F">
            <w:pPr>
              <w:rPr>
                <w:iCs/>
              </w:rPr>
            </w:pPr>
            <w:r w:rsidRPr="000701E8">
              <w:rPr>
                <w:iCs/>
              </w:rPr>
              <w:t>4. Finanšu līdzekļi papildu izdevumu finansēšanai (kompensējošu izdevumu samazinājumu norāda ar "+" zīmi)</w:t>
            </w:r>
          </w:p>
        </w:tc>
        <w:tc>
          <w:tcPr>
            <w:tcW w:w="1246" w:type="dxa"/>
            <w:tcBorders>
              <w:top w:val="outset" w:sz="6" w:space="0" w:color="auto"/>
              <w:left w:val="outset" w:sz="6" w:space="0" w:color="auto"/>
              <w:bottom w:val="outset" w:sz="6" w:space="0" w:color="auto"/>
              <w:right w:val="outset" w:sz="6" w:space="0" w:color="auto"/>
            </w:tcBorders>
            <w:hideMark/>
          </w:tcPr>
          <w:p w14:paraId="0052DBD5" w14:textId="77777777" w:rsidR="007C5A7F" w:rsidRPr="000701E8" w:rsidRDefault="007C5A7F" w:rsidP="00130AC8">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hideMark/>
          </w:tcPr>
          <w:p w14:paraId="05C83115" w14:textId="77777777" w:rsidR="007C5A7F" w:rsidRPr="000701E8" w:rsidRDefault="007C5A7F" w:rsidP="00130AC8">
            <w:pPr>
              <w:rPr>
                <w:iCs/>
              </w:rPr>
            </w:pPr>
            <w:r w:rsidRPr="000701E8">
              <w:rPr>
                <w:iCs/>
              </w:rPr>
              <w:t>0</w:t>
            </w:r>
          </w:p>
        </w:tc>
        <w:tc>
          <w:tcPr>
            <w:tcW w:w="1245" w:type="dxa"/>
            <w:tcBorders>
              <w:top w:val="outset" w:sz="6" w:space="0" w:color="auto"/>
              <w:left w:val="outset" w:sz="6" w:space="0" w:color="auto"/>
              <w:bottom w:val="outset" w:sz="6" w:space="0" w:color="auto"/>
              <w:right w:val="outset" w:sz="6" w:space="0" w:color="auto"/>
            </w:tcBorders>
            <w:hideMark/>
          </w:tcPr>
          <w:p w14:paraId="6C0FADAA" w14:textId="77777777" w:rsidR="007C5A7F" w:rsidRPr="000701E8" w:rsidRDefault="007C5A7F" w:rsidP="00130AC8">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hideMark/>
          </w:tcPr>
          <w:p w14:paraId="308647CE" w14:textId="77777777" w:rsidR="007C5A7F" w:rsidRPr="000701E8" w:rsidRDefault="007C5A7F" w:rsidP="00130AC8">
            <w:pPr>
              <w:rPr>
                <w:iCs/>
              </w:rPr>
            </w:pPr>
            <w:r w:rsidRPr="000701E8">
              <w:rPr>
                <w:iCs/>
              </w:rPr>
              <w:t>0</w:t>
            </w:r>
          </w:p>
        </w:tc>
        <w:tc>
          <w:tcPr>
            <w:tcW w:w="1246" w:type="dxa"/>
            <w:tcBorders>
              <w:top w:val="outset" w:sz="6" w:space="0" w:color="auto"/>
              <w:left w:val="outset" w:sz="6" w:space="0" w:color="auto"/>
              <w:bottom w:val="outset" w:sz="6" w:space="0" w:color="auto"/>
              <w:right w:val="outset" w:sz="6" w:space="0" w:color="auto"/>
            </w:tcBorders>
            <w:hideMark/>
          </w:tcPr>
          <w:p w14:paraId="2A7D8852" w14:textId="77777777" w:rsidR="007C5A7F" w:rsidRPr="000701E8" w:rsidRDefault="007C5A7F" w:rsidP="00130AC8">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hideMark/>
          </w:tcPr>
          <w:p w14:paraId="2CE38D81" w14:textId="77777777" w:rsidR="007C5A7F" w:rsidRPr="000701E8" w:rsidRDefault="007C5A7F" w:rsidP="00130AC8">
            <w:pPr>
              <w:rPr>
                <w:iCs/>
              </w:rPr>
            </w:pPr>
            <w:r w:rsidRPr="000701E8">
              <w:rPr>
                <w:iCs/>
              </w:rPr>
              <w:t>0</w:t>
            </w:r>
          </w:p>
        </w:tc>
        <w:tc>
          <w:tcPr>
            <w:tcW w:w="1373" w:type="dxa"/>
            <w:tcBorders>
              <w:top w:val="outset" w:sz="6" w:space="0" w:color="auto"/>
              <w:left w:val="outset" w:sz="6" w:space="0" w:color="auto"/>
              <w:bottom w:val="outset" w:sz="6" w:space="0" w:color="auto"/>
              <w:right w:val="outset" w:sz="6" w:space="0" w:color="auto"/>
            </w:tcBorders>
            <w:hideMark/>
          </w:tcPr>
          <w:p w14:paraId="30B84DEE" w14:textId="77777777" w:rsidR="007C5A7F" w:rsidRPr="000701E8" w:rsidRDefault="007C5A7F" w:rsidP="00130AC8">
            <w:pPr>
              <w:rPr>
                <w:iCs/>
              </w:rPr>
            </w:pPr>
            <w:r w:rsidRPr="000701E8">
              <w:rPr>
                <w:iCs/>
              </w:rPr>
              <w:t>0</w:t>
            </w:r>
          </w:p>
        </w:tc>
      </w:tr>
      <w:tr w:rsidR="00461EED" w:rsidRPr="000701E8" w14:paraId="573E2C81"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6FDB92D0" w14:textId="77777777" w:rsidR="007C5A7F" w:rsidRPr="000701E8" w:rsidRDefault="007C5A7F" w:rsidP="007C5A7F">
            <w:pPr>
              <w:rPr>
                <w:iCs/>
              </w:rPr>
            </w:pPr>
            <w:r w:rsidRPr="000701E8">
              <w:rPr>
                <w:iCs/>
              </w:rPr>
              <w:t>5. Precizēta finansiālā ietekme</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559C1C5D" w14:textId="77777777" w:rsidR="007C5A7F" w:rsidRPr="000701E8" w:rsidRDefault="007C5A7F" w:rsidP="00130AC8">
            <w:pPr>
              <w:rPr>
                <w:iCs/>
              </w:rPr>
            </w:pPr>
          </w:p>
          <w:p w14:paraId="60F8FDB7" w14:textId="77777777" w:rsidR="007C5A7F" w:rsidRPr="000701E8" w:rsidRDefault="007C5A7F" w:rsidP="00130AC8">
            <w:pPr>
              <w:rPr>
                <w:iCs/>
              </w:rPr>
            </w:pPr>
          </w:p>
          <w:p w14:paraId="4B2A3ED4" w14:textId="77777777" w:rsidR="007C5A7F" w:rsidRPr="000701E8" w:rsidRDefault="007C5A7F" w:rsidP="00130AC8">
            <w:pPr>
              <w:rPr>
                <w:iCs/>
              </w:rPr>
            </w:pPr>
          </w:p>
          <w:p w14:paraId="2EB933B1" w14:textId="77777777" w:rsidR="007C5A7F" w:rsidRPr="000701E8" w:rsidRDefault="007C5A7F" w:rsidP="00130AC8">
            <w:pPr>
              <w:rPr>
                <w:iCs/>
              </w:rPr>
            </w:pPr>
          </w:p>
          <w:p w14:paraId="1200DDA1" w14:textId="77777777" w:rsidR="007C5A7F" w:rsidRPr="000701E8" w:rsidRDefault="007C5A7F" w:rsidP="00130AC8">
            <w:pPr>
              <w:rPr>
                <w:iCs/>
              </w:rPr>
            </w:pPr>
          </w:p>
          <w:p w14:paraId="4643122D" w14:textId="77777777" w:rsidR="007C5A7F" w:rsidRPr="000701E8" w:rsidRDefault="007C5A7F" w:rsidP="00130AC8">
            <w:pPr>
              <w:rPr>
                <w:iCs/>
              </w:rPr>
            </w:pPr>
            <w:r w:rsidRPr="000701E8">
              <w:rPr>
                <w:iCs/>
              </w:rPr>
              <w:t>0</w:t>
            </w:r>
          </w:p>
        </w:tc>
        <w:tc>
          <w:tcPr>
            <w:tcW w:w="1103" w:type="dxa"/>
            <w:tcBorders>
              <w:top w:val="outset" w:sz="6" w:space="0" w:color="auto"/>
              <w:left w:val="outset" w:sz="6" w:space="0" w:color="auto"/>
              <w:bottom w:val="outset" w:sz="6" w:space="0" w:color="auto"/>
              <w:right w:val="outset" w:sz="6" w:space="0" w:color="auto"/>
            </w:tcBorders>
            <w:vAlign w:val="center"/>
            <w:hideMark/>
          </w:tcPr>
          <w:p w14:paraId="161D1407" w14:textId="77777777" w:rsidR="007C5A7F" w:rsidRPr="000701E8" w:rsidRDefault="007C5A7F" w:rsidP="00130AC8">
            <w:pPr>
              <w:rPr>
                <w:iCs/>
              </w:rPr>
            </w:pPr>
            <w:r w:rsidRPr="000701E8">
              <w:rPr>
                <w:iCs/>
              </w:rPr>
              <w:t>0</w:t>
            </w:r>
          </w:p>
        </w:tc>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7496158D" w14:textId="77777777" w:rsidR="007C5A7F" w:rsidRPr="000701E8" w:rsidRDefault="007C5A7F" w:rsidP="00130AC8">
            <w:pPr>
              <w:rPr>
                <w:iCs/>
              </w:rPr>
            </w:pPr>
          </w:p>
          <w:p w14:paraId="3CC5A73A" w14:textId="77777777" w:rsidR="007C5A7F" w:rsidRPr="000701E8" w:rsidRDefault="007C5A7F" w:rsidP="00130AC8">
            <w:pPr>
              <w:rPr>
                <w:iCs/>
              </w:rPr>
            </w:pPr>
          </w:p>
          <w:p w14:paraId="05AD3038" w14:textId="77777777" w:rsidR="007C5A7F" w:rsidRPr="000701E8" w:rsidRDefault="007C5A7F" w:rsidP="00130AC8">
            <w:pPr>
              <w:rPr>
                <w:iCs/>
              </w:rPr>
            </w:pPr>
          </w:p>
          <w:p w14:paraId="601F8725" w14:textId="77777777" w:rsidR="007C5A7F" w:rsidRPr="000701E8" w:rsidRDefault="007C5A7F" w:rsidP="00130AC8">
            <w:pPr>
              <w:rPr>
                <w:iCs/>
              </w:rPr>
            </w:pPr>
          </w:p>
          <w:p w14:paraId="34907620" w14:textId="77777777" w:rsidR="007C5A7F" w:rsidRPr="000701E8" w:rsidRDefault="007C5A7F" w:rsidP="00130AC8">
            <w:pPr>
              <w:rPr>
                <w:iCs/>
              </w:rPr>
            </w:pPr>
          </w:p>
          <w:p w14:paraId="251081BE" w14:textId="77777777" w:rsidR="007C5A7F" w:rsidRPr="000701E8" w:rsidRDefault="007C5A7F" w:rsidP="00130AC8">
            <w:pPr>
              <w:rPr>
                <w:iCs/>
              </w:rPr>
            </w:pPr>
            <w:r w:rsidRPr="000701E8">
              <w:rPr>
                <w:iCs/>
              </w:rPr>
              <w:t>0</w:t>
            </w:r>
          </w:p>
        </w:tc>
        <w:tc>
          <w:tcPr>
            <w:tcW w:w="1388" w:type="dxa"/>
            <w:tcBorders>
              <w:top w:val="outset" w:sz="6" w:space="0" w:color="auto"/>
              <w:left w:val="outset" w:sz="6" w:space="0" w:color="auto"/>
              <w:bottom w:val="outset" w:sz="6" w:space="0" w:color="auto"/>
              <w:right w:val="outset" w:sz="6" w:space="0" w:color="auto"/>
            </w:tcBorders>
            <w:vAlign w:val="center"/>
            <w:hideMark/>
          </w:tcPr>
          <w:p w14:paraId="054E20E1" w14:textId="77777777" w:rsidR="007C5A7F" w:rsidRPr="000701E8" w:rsidRDefault="007C5A7F" w:rsidP="00130AC8">
            <w:pPr>
              <w:rPr>
                <w:iCs/>
              </w:rPr>
            </w:pPr>
            <w:r w:rsidRPr="000701E8">
              <w:rPr>
                <w:iCs/>
              </w:rPr>
              <w:t>0</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21501CD3" w14:textId="77777777" w:rsidR="007C5A7F" w:rsidRPr="000701E8" w:rsidRDefault="007C5A7F" w:rsidP="00130AC8">
            <w:pPr>
              <w:rPr>
                <w:iCs/>
              </w:rPr>
            </w:pPr>
          </w:p>
          <w:p w14:paraId="196E9043" w14:textId="77777777" w:rsidR="007C5A7F" w:rsidRPr="000701E8" w:rsidRDefault="007C5A7F" w:rsidP="00130AC8">
            <w:pPr>
              <w:rPr>
                <w:iCs/>
              </w:rPr>
            </w:pPr>
          </w:p>
          <w:p w14:paraId="41A12A5D" w14:textId="77777777" w:rsidR="007C5A7F" w:rsidRPr="000701E8" w:rsidRDefault="007C5A7F" w:rsidP="00130AC8">
            <w:pPr>
              <w:rPr>
                <w:iCs/>
              </w:rPr>
            </w:pPr>
          </w:p>
          <w:p w14:paraId="5EE30B53" w14:textId="77777777" w:rsidR="007C5A7F" w:rsidRPr="000701E8" w:rsidRDefault="007C5A7F" w:rsidP="00130AC8">
            <w:pPr>
              <w:rPr>
                <w:iCs/>
              </w:rPr>
            </w:pPr>
          </w:p>
          <w:p w14:paraId="47364B50" w14:textId="77777777" w:rsidR="007C5A7F" w:rsidRPr="000701E8" w:rsidRDefault="007C5A7F" w:rsidP="00130AC8">
            <w:pPr>
              <w:rPr>
                <w:iCs/>
              </w:rPr>
            </w:pPr>
          </w:p>
          <w:p w14:paraId="08F425F1" w14:textId="77777777" w:rsidR="007C5A7F" w:rsidRPr="000701E8" w:rsidRDefault="007C5A7F" w:rsidP="00130AC8">
            <w:pPr>
              <w:rPr>
                <w:iCs/>
              </w:rPr>
            </w:pPr>
            <w:r w:rsidRPr="000701E8">
              <w:rPr>
                <w:iCs/>
              </w:rPr>
              <w:t>0</w:t>
            </w:r>
          </w:p>
        </w:tc>
        <w:tc>
          <w:tcPr>
            <w:tcW w:w="962" w:type="dxa"/>
            <w:tcBorders>
              <w:top w:val="outset" w:sz="6" w:space="0" w:color="auto"/>
              <w:left w:val="outset" w:sz="6" w:space="0" w:color="auto"/>
              <w:bottom w:val="outset" w:sz="6" w:space="0" w:color="auto"/>
              <w:right w:val="outset" w:sz="6" w:space="0" w:color="auto"/>
            </w:tcBorders>
            <w:vAlign w:val="center"/>
            <w:hideMark/>
          </w:tcPr>
          <w:p w14:paraId="196034EB" w14:textId="77777777" w:rsidR="007C5A7F" w:rsidRPr="000701E8" w:rsidRDefault="007C5A7F" w:rsidP="00130AC8">
            <w:pPr>
              <w:rPr>
                <w:iCs/>
              </w:rPr>
            </w:pPr>
            <w:r w:rsidRPr="000701E8">
              <w:rPr>
                <w:iCs/>
              </w:rPr>
              <w:t> 0</w:t>
            </w:r>
          </w:p>
        </w:tc>
        <w:tc>
          <w:tcPr>
            <w:tcW w:w="1373" w:type="dxa"/>
            <w:tcBorders>
              <w:top w:val="outset" w:sz="6" w:space="0" w:color="auto"/>
              <w:left w:val="outset" w:sz="6" w:space="0" w:color="auto"/>
              <w:bottom w:val="outset" w:sz="6" w:space="0" w:color="auto"/>
              <w:right w:val="outset" w:sz="6" w:space="0" w:color="auto"/>
            </w:tcBorders>
            <w:vAlign w:val="center"/>
            <w:hideMark/>
          </w:tcPr>
          <w:p w14:paraId="1ADACED9" w14:textId="77777777" w:rsidR="007C5A7F" w:rsidRPr="000701E8" w:rsidRDefault="007C5A7F" w:rsidP="00130AC8">
            <w:pPr>
              <w:rPr>
                <w:iCs/>
              </w:rPr>
            </w:pPr>
            <w:r w:rsidRPr="000701E8">
              <w:rPr>
                <w:iCs/>
              </w:rPr>
              <w:t> 0</w:t>
            </w:r>
          </w:p>
        </w:tc>
      </w:tr>
      <w:tr w:rsidR="00461EED" w:rsidRPr="000701E8" w14:paraId="393EC9A3"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073E2A42" w14:textId="77777777" w:rsidR="007C5A7F" w:rsidRPr="000701E8" w:rsidRDefault="007C5A7F" w:rsidP="007C5A7F">
            <w:pPr>
              <w:rPr>
                <w:iCs/>
              </w:rPr>
            </w:pPr>
            <w:r w:rsidRPr="000701E8">
              <w:rPr>
                <w:iCs/>
              </w:rPr>
              <w:t>5.1. valsts pamatbudžets</w:t>
            </w: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6E7CDD6" w14:textId="77777777" w:rsidR="007C5A7F" w:rsidRPr="000701E8" w:rsidRDefault="007C5A7F" w:rsidP="007C5A7F">
            <w:pPr>
              <w:rPr>
                <w:iCs/>
              </w:rPr>
            </w:pPr>
          </w:p>
        </w:tc>
        <w:tc>
          <w:tcPr>
            <w:tcW w:w="1103" w:type="dxa"/>
            <w:tcBorders>
              <w:top w:val="outset" w:sz="6" w:space="0" w:color="auto"/>
              <w:left w:val="outset" w:sz="6" w:space="0" w:color="auto"/>
              <w:bottom w:val="outset" w:sz="6" w:space="0" w:color="auto"/>
              <w:right w:val="outset" w:sz="6" w:space="0" w:color="auto"/>
            </w:tcBorders>
            <w:vAlign w:val="center"/>
            <w:hideMark/>
          </w:tcPr>
          <w:p w14:paraId="35D07CDC" w14:textId="77777777" w:rsidR="007C5A7F" w:rsidRPr="000701E8" w:rsidRDefault="007C5A7F" w:rsidP="007C5A7F">
            <w:pPr>
              <w:rPr>
                <w:iCs/>
              </w:rPr>
            </w:pPr>
            <w:r w:rsidRPr="000701E8">
              <w:rPr>
                <w:iCs/>
              </w:rPr>
              <w:t> 0</w:t>
            </w: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1A52CFFA" w14:textId="77777777" w:rsidR="007C5A7F" w:rsidRPr="000701E8" w:rsidRDefault="007C5A7F" w:rsidP="007C5A7F">
            <w:pPr>
              <w:rPr>
                <w:iCs/>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76016B4E" w14:textId="77777777" w:rsidR="007C5A7F" w:rsidRPr="000701E8" w:rsidRDefault="007C5A7F" w:rsidP="007C5A7F">
            <w:pPr>
              <w:rPr>
                <w:iCs/>
              </w:rPr>
            </w:pPr>
            <w:r w:rsidRPr="000701E8">
              <w:rPr>
                <w:iCs/>
              </w:rPr>
              <w:t> 0</w:t>
            </w: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F7E8619" w14:textId="77777777" w:rsidR="007C5A7F" w:rsidRPr="000701E8" w:rsidRDefault="007C5A7F" w:rsidP="007C5A7F">
            <w:pPr>
              <w:rPr>
                <w:iCs/>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23EB432D" w14:textId="77777777" w:rsidR="007C5A7F" w:rsidRPr="000701E8" w:rsidRDefault="007C5A7F" w:rsidP="007C5A7F">
            <w:pPr>
              <w:rPr>
                <w:iCs/>
              </w:rPr>
            </w:pPr>
            <w:r w:rsidRPr="000701E8">
              <w:rPr>
                <w:iCs/>
              </w:rPr>
              <w:t> 0</w:t>
            </w:r>
          </w:p>
        </w:tc>
        <w:tc>
          <w:tcPr>
            <w:tcW w:w="1373" w:type="dxa"/>
            <w:tcBorders>
              <w:top w:val="outset" w:sz="6" w:space="0" w:color="auto"/>
              <w:left w:val="outset" w:sz="6" w:space="0" w:color="auto"/>
              <w:bottom w:val="outset" w:sz="6" w:space="0" w:color="auto"/>
              <w:right w:val="outset" w:sz="6" w:space="0" w:color="auto"/>
            </w:tcBorders>
            <w:vAlign w:val="center"/>
            <w:hideMark/>
          </w:tcPr>
          <w:p w14:paraId="137CE3E0" w14:textId="77777777" w:rsidR="007C5A7F" w:rsidRPr="000701E8" w:rsidRDefault="007C5A7F" w:rsidP="007C5A7F">
            <w:pPr>
              <w:rPr>
                <w:iCs/>
              </w:rPr>
            </w:pPr>
            <w:r w:rsidRPr="000701E8">
              <w:rPr>
                <w:iCs/>
              </w:rPr>
              <w:t> 0</w:t>
            </w:r>
          </w:p>
        </w:tc>
      </w:tr>
      <w:tr w:rsidR="00461EED" w:rsidRPr="000701E8" w14:paraId="292E5603"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38CA5412" w14:textId="77777777" w:rsidR="007C5A7F" w:rsidRPr="000701E8" w:rsidRDefault="007C5A7F" w:rsidP="007C5A7F">
            <w:pPr>
              <w:rPr>
                <w:iCs/>
              </w:rPr>
            </w:pPr>
            <w:r w:rsidRPr="000701E8">
              <w:rPr>
                <w:iCs/>
              </w:rPr>
              <w:t>5.2. speciālais budžets</w:t>
            </w: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50818EC" w14:textId="77777777" w:rsidR="007C5A7F" w:rsidRPr="000701E8" w:rsidRDefault="007C5A7F" w:rsidP="007C5A7F">
            <w:pPr>
              <w:rPr>
                <w:iCs/>
              </w:rPr>
            </w:pPr>
          </w:p>
        </w:tc>
        <w:tc>
          <w:tcPr>
            <w:tcW w:w="1103" w:type="dxa"/>
            <w:tcBorders>
              <w:top w:val="outset" w:sz="6" w:space="0" w:color="auto"/>
              <w:left w:val="outset" w:sz="6" w:space="0" w:color="auto"/>
              <w:bottom w:val="outset" w:sz="6" w:space="0" w:color="auto"/>
              <w:right w:val="outset" w:sz="6" w:space="0" w:color="auto"/>
            </w:tcBorders>
            <w:vAlign w:val="center"/>
            <w:hideMark/>
          </w:tcPr>
          <w:p w14:paraId="62B0DC2A" w14:textId="77777777" w:rsidR="007C5A7F" w:rsidRPr="000701E8" w:rsidRDefault="007C5A7F" w:rsidP="007C5A7F">
            <w:pPr>
              <w:rPr>
                <w:iCs/>
              </w:rPr>
            </w:pPr>
            <w:r w:rsidRPr="000701E8">
              <w:rPr>
                <w:iCs/>
              </w:rPr>
              <w:t> 0</w:t>
            </w: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35FB2D92" w14:textId="77777777" w:rsidR="007C5A7F" w:rsidRPr="000701E8" w:rsidRDefault="007C5A7F" w:rsidP="007C5A7F">
            <w:pPr>
              <w:rPr>
                <w:iCs/>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0100C9D" w14:textId="77777777" w:rsidR="007C5A7F" w:rsidRPr="000701E8" w:rsidRDefault="007C5A7F" w:rsidP="007C5A7F">
            <w:pPr>
              <w:rPr>
                <w:iCs/>
              </w:rPr>
            </w:pPr>
            <w:r w:rsidRPr="000701E8">
              <w:rPr>
                <w:iCs/>
              </w:rPr>
              <w:t> 0</w:t>
            </w: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2C09CF5" w14:textId="77777777" w:rsidR="007C5A7F" w:rsidRPr="000701E8" w:rsidRDefault="007C5A7F" w:rsidP="007C5A7F">
            <w:pPr>
              <w:rPr>
                <w:iCs/>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32522624" w14:textId="77777777" w:rsidR="007C5A7F" w:rsidRPr="000701E8" w:rsidRDefault="007C5A7F" w:rsidP="007C5A7F">
            <w:pPr>
              <w:rPr>
                <w:iCs/>
              </w:rPr>
            </w:pPr>
            <w:r w:rsidRPr="000701E8">
              <w:rPr>
                <w:iCs/>
              </w:rPr>
              <w:t> 0</w:t>
            </w:r>
          </w:p>
        </w:tc>
        <w:tc>
          <w:tcPr>
            <w:tcW w:w="1373" w:type="dxa"/>
            <w:tcBorders>
              <w:top w:val="outset" w:sz="6" w:space="0" w:color="auto"/>
              <w:left w:val="outset" w:sz="6" w:space="0" w:color="auto"/>
              <w:bottom w:val="outset" w:sz="6" w:space="0" w:color="auto"/>
              <w:right w:val="outset" w:sz="6" w:space="0" w:color="auto"/>
            </w:tcBorders>
            <w:vAlign w:val="center"/>
            <w:hideMark/>
          </w:tcPr>
          <w:p w14:paraId="148E10FC" w14:textId="77777777" w:rsidR="007C5A7F" w:rsidRPr="000701E8" w:rsidRDefault="007C5A7F" w:rsidP="007C5A7F">
            <w:pPr>
              <w:rPr>
                <w:iCs/>
              </w:rPr>
            </w:pPr>
            <w:r w:rsidRPr="000701E8">
              <w:rPr>
                <w:iCs/>
              </w:rPr>
              <w:t> 0</w:t>
            </w:r>
          </w:p>
        </w:tc>
      </w:tr>
      <w:tr w:rsidR="00461EED" w:rsidRPr="000701E8" w14:paraId="6DBD620B" w14:textId="77777777" w:rsidTr="007B2918">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71A668FC" w14:textId="77777777" w:rsidR="007C5A7F" w:rsidRPr="000701E8" w:rsidRDefault="007C5A7F" w:rsidP="007C5A7F">
            <w:pPr>
              <w:rPr>
                <w:iCs/>
              </w:rPr>
            </w:pPr>
            <w:r w:rsidRPr="000701E8">
              <w:rPr>
                <w:iCs/>
              </w:rPr>
              <w:t>5.3. pašvaldību budžets</w:t>
            </w: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81678B8" w14:textId="77777777" w:rsidR="007C5A7F" w:rsidRPr="000701E8" w:rsidRDefault="007C5A7F" w:rsidP="007C5A7F">
            <w:pPr>
              <w:rPr>
                <w:iCs/>
              </w:rPr>
            </w:pPr>
          </w:p>
        </w:tc>
        <w:tc>
          <w:tcPr>
            <w:tcW w:w="1103" w:type="dxa"/>
            <w:tcBorders>
              <w:top w:val="outset" w:sz="6" w:space="0" w:color="auto"/>
              <w:left w:val="outset" w:sz="6" w:space="0" w:color="auto"/>
              <w:bottom w:val="outset" w:sz="6" w:space="0" w:color="auto"/>
              <w:right w:val="outset" w:sz="6" w:space="0" w:color="auto"/>
            </w:tcBorders>
            <w:vAlign w:val="center"/>
            <w:hideMark/>
          </w:tcPr>
          <w:p w14:paraId="3121F759" w14:textId="77777777" w:rsidR="007C5A7F" w:rsidRPr="000701E8" w:rsidRDefault="007C5A7F" w:rsidP="007C5A7F">
            <w:pPr>
              <w:rPr>
                <w:iCs/>
              </w:rPr>
            </w:pPr>
            <w:r w:rsidRPr="000701E8">
              <w:rPr>
                <w:iCs/>
              </w:rPr>
              <w:t> 0</w:t>
            </w:r>
          </w:p>
        </w:tc>
        <w:tc>
          <w:tcPr>
            <w:tcW w:w="1245" w:type="dxa"/>
            <w:vMerge/>
            <w:tcBorders>
              <w:top w:val="outset" w:sz="6" w:space="0" w:color="auto"/>
              <w:left w:val="outset" w:sz="6" w:space="0" w:color="auto"/>
              <w:bottom w:val="outset" w:sz="6" w:space="0" w:color="auto"/>
              <w:right w:val="outset" w:sz="6" w:space="0" w:color="auto"/>
            </w:tcBorders>
            <w:vAlign w:val="center"/>
            <w:hideMark/>
          </w:tcPr>
          <w:p w14:paraId="7F1AD643" w14:textId="77777777" w:rsidR="007C5A7F" w:rsidRPr="000701E8" w:rsidRDefault="007C5A7F" w:rsidP="007C5A7F">
            <w:pPr>
              <w:rPr>
                <w:iCs/>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39ACCBD" w14:textId="77777777" w:rsidR="007C5A7F" w:rsidRPr="000701E8" w:rsidRDefault="007C5A7F" w:rsidP="007C5A7F">
            <w:pPr>
              <w:rPr>
                <w:iCs/>
              </w:rPr>
            </w:pPr>
            <w:r w:rsidRPr="000701E8">
              <w:rPr>
                <w:iCs/>
              </w:rPr>
              <w:t> 0</w:t>
            </w: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4AD4701" w14:textId="77777777" w:rsidR="007C5A7F" w:rsidRPr="000701E8" w:rsidRDefault="007C5A7F" w:rsidP="007C5A7F">
            <w:pPr>
              <w:rPr>
                <w:iCs/>
              </w:rPr>
            </w:pPr>
          </w:p>
        </w:tc>
        <w:tc>
          <w:tcPr>
            <w:tcW w:w="962" w:type="dxa"/>
            <w:tcBorders>
              <w:top w:val="outset" w:sz="6" w:space="0" w:color="auto"/>
              <w:left w:val="outset" w:sz="6" w:space="0" w:color="auto"/>
              <w:bottom w:val="outset" w:sz="6" w:space="0" w:color="auto"/>
              <w:right w:val="outset" w:sz="6" w:space="0" w:color="auto"/>
            </w:tcBorders>
            <w:vAlign w:val="center"/>
            <w:hideMark/>
          </w:tcPr>
          <w:p w14:paraId="2689AAC3" w14:textId="77777777" w:rsidR="007C5A7F" w:rsidRPr="000701E8" w:rsidRDefault="007C5A7F" w:rsidP="007C5A7F">
            <w:pPr>
              <w:rPr>
                <w:iCs/>
              </w:rPr>
            </w:pPr>
            <w:r w:rsidRPr="000701E8">
              <w:rPr>
                <w:iCs/>
              </w:rPr>
              <w:t> 0</w:t>
            </w:r>
          </w:p>
        </w:tc>
        <w:tc>
          <w:tcPr>
            <w:tcW w:w="1373" w:type="dxa"/>
            <w:tcBorders>
              <w:top w:val="outset" w:sz="6" w:space="0" w:color="auto"/>
              <w:left w:val="outset" w:sz="6" w:space="0" w:color="auto"/>
              <w:bottom w:val="outset" w:sz="6" w:space="0" w:color="auto"/>
              <w:right w:val="outset" w:sz="6" w:space="0" w:color="auto"/>
            </w:tcBorders>
            <w:vAlign w:val="center"/>
            <w:hideMark/>
          </w:tcPr>
          <w:p w14:paraId="0A68B390" w14:textId="77777777" w:rsidR="007C5A7F" w:rsidRPr="000701E8" w:rsidRDefault="007C5A7F" w:rsidP="007C5A7F">
            <w:pPr>
              <w:rPr>
                <w:iCs/>
              </w:rPr>
            </w:pPr>
            <w:r w:rsidRPr="000701E8">
              <w:rPr>
                <w:iCs/>
              </w:rPr>
              <w:t> 0</w:t>
            </w:r>
          </w:p>
        </w:tc>
      </w:tr>
      <w:tr w:rsidR="000701E8" w:rsidRPr="000701E8" w14:paraId="27EAD61F" w14:textId="77777777" w:rsidTr="00461EED">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15672BD2" w14:textId="77777777" w:rsidR="007C5A7F" w:rsidRPr="000701E8" w:rsidRDefault="007C5A7F" w:rsidP="007C5A7F">
            <w:pPr>
              <w:rPr>
                <w:iCs/>
              </w:rPr>
            </w:pPr>
            <w:r w:rsidRPr="000701E8">
              <w:rPr>
                <w:iCs/>
              </w:rPr>
              <w:lastRenderedPageBreak/>
              <w:t>6. Detalizēts ieņēmumu un izdevumu aprēķins (ja nepieciešams, detalizētu ieņēmumu un izdevumu aprēķinu var pievienot anotācijas pielikumā)</w:t>
            </w:r>
          </w:p>
        </w:tc>
        <w:tc>
          <w:tcPr>
            <w:tcW w:w="8743" w:type="dxa"/>
            <w:gridSpan w:val="7"/>
            <w:vMerge w:val="restart"/>
            <w:tcBorders>
              <w:top w:val="outset" w:sz="6" w:space="0" w:color="auto"/>
              <w:left w:val="outset" w:sz="6" w:space="0" w:color="auto"/>
              <w:bottom w:val="outset" w:sz="6" w:space="0" w:color="auto"/>
              <w:right w:val="outset" w:sz="6" w:space="0" w:color="auto"/>
            </w:tcBorders>
            <w:hideMark/>
          </w:tcPr>
          <w:p w14:paraId="3208D974" w14:textId="12109F75" w:rsidR="007C5A7F" w:rsidRPr="000701E8" w:rsidRDefault="007C5A7F" w:rsidP="007C5A7F">
            <w:pPr>
              <w:spacing w:after="160" w:line="259" w:lineRule="auto"/>
              <w:jc w:val="both"/>
              <w:rPr>
                <w:iCs/>
              </w:rPr>
            </w:pPr>
            <w:r w:rsidRPr="000701E8">
              <w:rPr>
                <w:iCs/>
              </w:rPr>
              <w:t xml:space="preserve">Pasākumam pieejamais kopējais attiecināmais finansējums ir </w:t>
            </w:r>
            <w:r w:rsidR="000C26C3">
              <w:rPr>
                <w:iCs/>
              </w:rPr>
              <w:t>153 515 01</w:t>
            </w:r>
            <w:r w:rsidR="002608C1">
              <w:rPr>
                <w:iCs/>
              </w:rPr>
              <w:t>8</w:t>
            </w:r>
            <w:r w:rsidR="000C26C3">
              <w:rPr>
                <w:iCs/>
              </w:rPr>
              <w:t xml:space="preserve"> </w:t>
            </w:r>
            <w:r w:rsidRPr="00205FCA">
              <w:rPr>
                <w:i/>
              </w:rPr>
              <w:t>euro</w:t>
            </w:r>
            <w:r w:rsidRPr="000701E8">
              <w:rPr>
                <w:iCs/>
              </w:rPr>
              <w:t xml:space="preserve">, tai skaitā KF finansējuma apjoms ir </w:t>
            </w:r>
            <w:r w:rsidR="000C26C3">
              <w:rPr>
                <w:iCs/>
              </w:rPr>
              <w:t>130 487 51</w:t>
            </w:r>
            <w:r w:rsidR="002608C1">
              <w:rPr>
                <w:iCs/>
              </w:rPr>
              <w:t>8</w:t>
            </w:r>
            <w:r w:rsidR="000C26C3">
              <w:rPr>
                <w:iCs/>
              </w:rPr>
              <w:t xml:space="preserve"> </w:t>
            </w:r>
            <w:r w:rsidRPr="00205FCA">
              <w:rPr>
                <w:i/>
              </w:rPr>
              <w:t>euro</w:t>
            </w:r>
            <w:r w:rsidR="000C26C3">
              <w:rPr>
                <w:iCs/>
              </w:rPr>
              <w:t>, valsts budžeta finansējum</w:t>
            </w:r>
            <w:r w:rsidR="00545636">
              <w:rPr>
                <w:iCs/>
              </w:rPr>
              <w:t>s</w:t>
            </w:r>
            <w:r w:rsidR="000C26C3">
              <w:rPr>
                <w:iCs/>
              </w:rPr>
              <w:t xml:space="preserve">  19 277 500 </w:t>
            </w:r>
            <w:r w:rsidR="00545636" w:rsidRPr="00205FCA">
              <w:rPr>
                <w:i/>
              </w:rPr>
              <w:t>euro</w:t>
            </w:r>
            <w:r w:rsidR="00545636" w:rsidRPr="000701E8">
              <w:rPr>
                <w:iCs/>
              </w:rPr>
              <w:t xml:space="preserve"> </w:t>
            </w:r>
            <w:r w:rsidR="00545636">
              <w:rPr>
                <w:iCs/>
              </w:rPr>
              <w:t xml:space="preserve"> </w:t>
            </w:r>
            <w:r w:rsidRPr="000701E8">
              <w:rPr>
                <w:iCs/>
              </w:rPr>
              <w:t xml:space="preserve">un </w:t>
            </w:r>
            <w:r w:rsidR="00545636">
              <w:rPr>
                <w:iCs/>
              </w:rPr>
              <w:t>privātais</w:t>
            </w:r>
            <w:r w:rsidRPr="000701E8">
              <w:rPr>
                <w:iCs/>
              </w:rPr>
              <w:t xml:space="preserve"> finansējums vismaz </w:t>
            </w:r>
            <w:r w:rsidR="000C26C3">
              <w:rPr>
                <w:iCs/>
              </w:rPr>
              <w:t xml:space="preserve">3 750 000 </w:t>
            </w:r>
            <w:r w:rsidRPr="00205FCA">
              <w:rPr>
                <w:i/>
              </w:rPr>
              <w:t>euro</w:t>
            </w:r>
            <w:r w:rsidRPr="000701E8">
              <w:rPr>
                <w:iCs/>
              </w:rPr>
              <w:t xml:space="preserve">. </w:t>
            </w:r>
          </w:p>
          <w:p w14:paraId="188AF988" w14:textId="2BE27151" w:rsidR="007C5A7F" w:rsidRDefault="007C5A7F" w:rsidP="007C5A7F">
            <w:pPr>
              <w:spacing w:after="160" w:line="259" w:lineRule="auto"/>
              <w:jc w:val="both"/>
              <w:rPr>
                <w:iCs/>
              </w:rPr>
            </w:pPr>
            <w:r w:rsidRPr="000701E8">
              <w:rPr>
                <w:iCs/>
              </w:rPr>
              <w:t>Plānotais KF finansējums: 2020.gadā –</w:t>
            </w:r>
            <w:r w:rsidR="000C26C3">
              <w:rPr>
                <w:iCs/>
              </w:rPr>
              <w:t xml:space="preserve"> 4 720 407 </w:t>
            </w:r>
            <w:r w:rsidRPr="00F10F8E">
              <w:rPr>
                <w:i/>
              </w:rPr>
              <w:t>euro</w:t>
            </w:r>
            <w:r w:rsidRPr="000701E8">
              <w:rPr>
                <w:iCs/>
              </w:rPr>
              <w:t>, 2021.gadā –</w:t>
            </w:r>
            <w:r w:rsidR="004F7EA7">
              <w:rPr>
                <w:iCs/>
              </w:rPr>
              <w:t xml:space="preserve"> </w:t>
            </w:r>
            <w:r w:rsidR="000C26C3">
              <w:rPr>
                <w:iCs/>
              </w:rPr>
              <w:t xml:space="preserve">28 114 138 </w:t>
            </w:r>
            <w:r w:rsidRPr="00F10F8E">
              <w:rPr>
                <w:i/>
              </w:rPr>
              <w:t>euro</w:t>
            </w:r>
            <w:r w:rsidRPr="000701E8">
              <w:rPr>
                <w:iCs/>
              </w:rPr>
              <w:t>, 2022.gadā –</w:t>
            </w:r>
            <w:r w:rsidR="00640EDE">
              <w:rPr>
                <w:iCs/>
              </w:rPr>
              <w:t xml:space="preserve"> </w:t>
            </w:r>
            <w:r w:rsidR="000C26C3">
              <w:rPr>
                <w:iCs/>
              </w:rPr>
              <w:t>4</w:t>
            </w:r>
            <w:r w:rsidR="00545636">
              <w:rPr>
                <w:iCs/>
              </w:rPr>
              <w:t>3</w:t>
            </w:r>
            <w:r w:rsidR="000C26C3">
              <w:rPr>
                <w:iCs/>
              </w:rPr>
              <w:t xml:space="preserve"> 633 387 </w:t>
            </w:r>
            <w:r w:rsidRPr="00F10F8E">
              <w:rPr>
                <w:i/>
              </w:rPr>
              <w:t>euro</w:t>
            </w:r>
            <w:r w:rsidRPr="000701E8">
              <w:rPr>
                <w:iCs/>
              </w:rPr>
              <w:t xml:space="preserve">, 2023.gadā </w:t>
            </w:r>
            <w:r w:rsidRPr="00D85C25">
              <w:rPr>
                <w:iCs/>
              </w:rPr>
              <w:t>–</w:t>
            </w:r>
            <w:r w:rsidR="00640EDE">
              <w:rPr>
                <w:iCs/>
              </w:rPr>
              <w:t xml:space="preserve"> </w:t>
            </w:r>
            <w:r w:rsidR="000C26C3">
              <w:rPr>
                <w:iCs/>
              </w:rPr>
              <w:t>54 019 58</w:t>
            </w:r>
            <w:r w:rsidR="002608C1">
              <w:rPr>
                <w:iCs/>
              </w:rPr>
              <w:t>6</w:t>
            </w:r>
            <w:r w:rsidR="000C26C3">
              <w:rPr>
                <w:iCs/>
              </w:rPr>
              <w:t xml:space="preserve"> </w:t>
            </w:r>
            <w:r w:rsidRPr="00D85C25">
              <w:rPr>
                <w:i/>
              </w:rPr>
              <w:t>euro</w:t>
            </w:r>
            <w:r w:rsidRPr="00D85C25">
              <w:rPr>
                <w:iCs/>
              </w:rPr>
              <w:t>.</w:t>
            </w:r>
          </w:p>
          <w:p w14:paraId="2F84854B" w14:textId="22AA860E" w:rsidR="000C26C3" w:rsidRPr="000701E8" w:rsidRDefault="000C26C3" w:rsidP="007C5A7F">
            <w:pPr>
              <w:spacing w:after="160" w:line="259" w:lineRule="auto"/>
              <w:jc w:val="both"/>
              <w:rPr>
                <w:iCs/>
              </w:rPr>
            </w:pPr>
            <w:r w:rsidRPr="000701E8">
              <w:rPr>
                <w:iCs/>
              </w:rPr>
              <w:t>Plānotais</w:t>
            </w:r>
            <w:r w:rsidR="004F7EA7">
              <w:rPr>
                <w:iCs/>
              </w:rPr>
              <w:t xml:space="preserve"> </w:t>
            </w:r>
            <w:r>
              <w:rPr>
                <w:iCs/>
              </w:rPr>
              <w:t>valsts budžeta finansējums</w:t>
            </w:r>
            <w:r w:rsidRPr="000701E8">
              <w:rPr>
                <w:iCs/>
              </w:rPr>
              <w:t>: 2021.gadā –</w:t>
            </w:r>
            <w:r>
              <w:rPr>
                <w:iCs/>
              </w:rPr>
              <w:t xml:space="preserve"> </w:t>
            </w:r>
            <w:r w:rsidRPr="000701E8">
              <w:rPr>
                <w:iCs/>
              </w:rPr>
              <w:t>3 </w:t>
            </w:r>
            <w:r>
              <w:rPr>
                <w:iCs/>
              </w:rPr>
              <w:t>705</w:t>
            </w:r>
            <w:r w:rsidRPr="000701E8">
              <w:rPr>
                <w:iCs/>
              </w:rPr>
              <w:t xml:space="preserve"> 000 </w:t>
            </w:r>
            <w:r w:rsidRPr="00F10F8E">
              <w:rPr>
                <w:i/>
              </w:rPr>
              <w:t>euro</w:t>
            </w:r>
            <w:r w:rsidRPr="000701E8">
              <w:rPr>
                <w:iCs/>
              </w:rPr>
              <w:t>, 2022.gadā –</w:t>
            </w:r>
            <w:r w:rsidR="004F7EA7">
              <w:rPr>
                <w:iCs/>
              </w:rPr>
              <w:t xml:space="preserve"> </w:t>
            </w:r>
            <w:r>
              <w:rPr>
                <w:iCs/>
              </w:rPr>
              <w:t xml:space="preserve">6 480 000 </w:t>
            </w:r>
            <w:r w:rsidRPr="00F10F8E">
              <w:rPr>
                <w:i/>
              </w:rPr>
              <w:t>euro</w:t>
            </w:r>
            <w:r w:rsidRPr="000701E8">
              <w:rPr>
                <w:iCs/>
              </w:rPr>
              <w:t>, 2023.gadā –</w:t>
            </w:r>
            <w:r w:rsidR="004F7EA7">
              <w:rPr>
                <w:iCs/>
              </w:rPr>
              <w:t xml:space="preserve"> </w:t>
            </w:r>
            <w:r>
              <w:rPr>
                <w:iCs/>
              </w:rPr>
              <w:t xml:space="preserve">9 092 500 </w:t>
            </w:r>
            <w:r w:rsidRPr="00F10F8E">
              <w:rPr>
                <w:i/>
              </w:rPr>
              <w:t>euro</w:t>
            </w:r>
            <w:r w:rsidRPr="000701E8">
              <w:rPr>
                <w:iCs/>
              </w:rPr>
              <w:t>.</w:t>
            </w:r>
          </w:p>
          <w:p w14:paraId="26938756" w14:textId="79A19AAE" w:rsidR="007C5A7F" w:rsidRPr="000701E8" w:rsidRDefault="007C5A7F" w:rsidP="007C5A7F">
            <w:pPr>
              <w:spacing w:after="160" w:line="259" w:lineRule="auto"/>
              <w:jc w:val="both"/>
              <w:rPr>
                <w:iCs/>
              </w:rPr>
            </w:pPr>
            <w:r w:rsidRPr="000701E8">
              <w:rPr>
                <w:iCs/>
              </w:rPr>
              <w:t>Plānotais privātais līdzfinansējums: 2020.gadā –</w:t>
            </w:r>
            <w:r w:rsidR="00087DBC">
              <w:rPr>
                <w:iCs/>
              </w:rPr>
              <w:t xml:space="preserve"> </w:t>
            </w:r>
            <w:r w:rsidR="001B2BF4">
              <w:rPr>
                <w:iCs/>
              </w:rPr>
              <w:t>833</w:t>
            </w:r>
            <w:r w:rsidR="00224AD5">
              <w:rPr>
                <w:iCs/>
              </w:rPr>
              <w:t> </w:t>
            </w:r>
            <w:r w:rsidR="001B2BF4">
              <w:rPr>
                <w:iCs/>
              </w:rPr>
              <w:t>013</w:t>
            </w:r>
            <w:r w:rsidR="00224AD5">
              <w:rPr>
                <w:iCs/>
              </w:rPr>
              <w:t xml:space="preserve"> </w:t>
            </w:r>
            <w:r w:rsidRPr="00F10F8E">
              <w:rPr>
                <w:i/>
              </w:rPr>
              <w:t>euro</w:t>
            </w:r>
            <w:r w:rsidRPr="000701E8">
              <w:rPr>
                <w:iCs/>
              </w:rPr>
              <w:t>, 2021.gadā –</w:t>
            </w:r>
            <w:r w:rsidR="001B2BF4">
              <w:rPr>
                <w:iCs/>
              </w:rPr>
              <w:t xml:space="preserve"> 1 256 318 </w:t>
            </w:r>
            <w:r w:rsidRPr="00F10F8E">
              <w:rPr>
                <w:i/>
              </w:rPr>
              <w:t>euro</w:t>
            </w:r>
            <w:r w:rsidRPr="000701E8">
              <w:rPr>
                <w:iCs/>
              </w:rPr>
              <w:t>, 2022.gadā –</w:t>
            </w:r>
            <w:r w:rsidR="00087DBC">
              <w:rPr>
                <w:iCs/>
              </w:rPr>
              <w:t xml:space="preserve"> </w:t>
            </w:r>
            <w:r w:rsidR="001B2BF4">
              <w:rPr>
                <w:iCs/>
              </w:rPr>
              <w:t xml:space="preserve">1 220 010 </w:t>
            </w:r>
            <w:r w:rsidRPr="00F10F8E">
              <w:rPr>
                <w:i/>
              </w:rPr>
              <w:t>euro</w:t>
            </w:r>
            <w:r w:rsidRPr="000701E8">
              <w:rPr>
                <w:iCs/>
              </w:rPr>
              <w:t>, 2023.gadā –</w:t>
            </w:r>
            <w:r w:rsidR="00087DBC">
              <w:rPr>
                <w:iCs/>
              </w:rPr>
              <w:t xml:space="preserve"> </w:t>
            </w:r>
            <w:r w:rsidR="0060782B">
              <w:rPr>
                <w:iCs/>
              </w:rPr>
              <w:t>440 659</w:t>
            </w:r>
            <w:r w:rsidR="001B2BF4">
              <w:rPr>
                <w:iCs/>
              </w:rPr>
              <w:t xml:space="preserve"> </w:t>
            </w:r>
            <w:r w:rsidRPr="00F10F8E">
              <w:rPr>
                <w:i/>
              </w:rPr>
              <w:t>euro</w:t>
            </w:r>
            <w:r w:rsidRPr="000701E8">
              <w:rPr>
                <w:iCs/>
              </w:rPr>
              <w:t>.</w:t>
            </w:r>
          </w:p>
          <w:p w14:paraId="04BBB92D" w14:textId="77777777" w:rsidR="007C5A7F" w:rsidRPr="000701E8" w:rsidRDefault="007C5A7F" w:rsidP="007C5A7F">
            <w:pPr>
              <w:rPr>
                <w:iCs/>
              </w:rPr>
            </w:pPr>
          </w:p>
          <w:p w14:paraId="30BB990A" w14:textId="77777777" w:rsidR="007C5A7F" w:rsidRPr="000701E8" w:rsidRDefault="007C5A7F" w:rsidP="007C5A7F">
            <w:pPr>
              <w:rPr>
                <w:iCs/>
              </w:rPr>
            </w:pPr>
          </w:p>
        </w:tc>
      </w:tr>
      <w:tr w:rsidR="000701E8" w:rsidRPr="000701E8" w14:paraId="31EB9A11" w14:textId="77777777" w:rsidTr="00461EED">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772533A8" w14:textId="77777777" w:rsidR="007C5A7F" w:rsidRPr="000701E8" w:rsidRDefault="007C5A7F" w:rsidP="007C5A7F">
            <w:pPr>
              <w:rPr>
                <w:iCs/>
              </w:rPr>
            </w:pPr>
            <w:r w:rsidRPr="000701E8">
              <w:rPr>
                <w:iCs/>
              </w:rPr>
              <w:t>6.1. detalizēts ieņēmumu aprēķins</w:t>
            </w:r>
          </w:p>
        </w:tc>
        <w:tc>
          <w:tcPr>
            <w:tcW w:w="8743" w:type="dxa"/>
            <w:gridSpan w:val="7"/>
            <w:vMerge/>
            <w:tcBorders>
              <w:top w:val="outset" w:sz="6" w:space="0" w:color="auto"/>
              <w:left w:val="outset" w:sz="6" w:space="0" w:color="auto"/>
              <w:bottom w:val="outset" w:sz="6" w:space="0" w:color="auto"/>
              <w:right w:val="outset" w:sz="6" w:space="0" w:color="auto"/>
            </w:tcBorders>
            <w:vAlign w:val="center"/>
            <w:hideMark/>
          </w:tcPr>
          <w:p w14:paraId="693BB069" w14:textId="77777777" w:rsidR="007C5A7F" w:rsidRPr="000701E8" w:rsidRDefault="007C5A7F" w:rsidP="007C5A7F">
            <w:pPr>
              <w:rPr>
                <w:iCs/>
              </w:rPr>
            </w:pPr>
          </w:p>
        </w:tc>
      </w:tr>
      <w:tr w:rsidR="000701E8" w:rsidRPr="000701E8" w14:paraId="030BAFDE" w14:textId="77777777" w:rsidTr="00461EED">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3682438F" w14:textId="77777777" w:rsidR="007C5A7F" w:rsidRPr="000701E8" w:rsidRDefault="007C5A7F" w:rsidP="007C5A7F">
            <w:pPr>
              <w:rPr>
                <w:iCs/>
              </w:rPr>
            </w:pPr>
            <w:r w:rsidRPr="000701E8">
              <w:rPr>
                <w:iCs/>
              </w:rPr>
              <w:t>6.2. detalizēts izdevumu aprēķins</w:t>
            </w:r>
          </w:p>
        </w:tc>
        <w:tc>
          <w:tcPr>
            <w:tcW w:w="8743" w:type="dxa"/>
            <w:gridSpan w:val="7"/>
            <w:vMerge/>
            <w:tcBorders>
              <w:top w:val="outset" w:sz="6" w:space="0" w:color="auto"/>
              <w:left w:val="outset" w:sz="6" w:space="0" w:color="auto"/>
              <w:bottom w:val="outset" w:sz="6" w:space="0" w:color="auto"/>
              <w:right w:val="outset" w:sz="6" w:space="0" w:color="auto"/>
            </w:tcBorders>
            <w:vAlign w:val="center"/>
            <w:hideMark/>
          </w:tcPr>
          <w:p w14:paraId="3E66A66E" w14:textId="77777777" w:rsidR="007C5A7F" w:rsidRPr="000701E8" w:rsidRDefault="007C5A7F" w:rsidP="007C5A7F">
            <w:pPr>
              <w:rPr>
                <w:iCs/>
              </w:rPr>
            </w:pPr>
          </w:p>
        </w:tc>
      </w:tr>
      <w:tr w:rsidR="000701E8" w:rsidRPr="000701E8" w14:paraId="2E551E54" w14:textId="77777777" w:rsidTr="00461EED">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72668C52" w14:textId="77777777" w:rsidR="007C5A7F" w:rsidRPr="000701E8" w:rsidRDefault="007C5A7F" w:rsidP="007C5A7F">
            <w:pPr>
              <w:rPr>
                <w:iCs/>
              </w:rPr>
            </w:pPr>
            <w:r w:rsidRPr="000701E8">
              <w:rPr>
                <w:iCs/>
              </w:rPr>
              <w:t>7. Amata vietu skaita izmaiņas</w:t>
            </w:r>
          </w:p>
        </w:tc>
        <w:tc>
          <w:tcPr>
            <w:tcW w:w="8743" w:type="dxa"/>
            <w:gridSpan w:val="7"/>
            <w:tcBorders>
              <w:top w:val="outset" w:sz="6" w:space="0" w:color="auto"/>
              <w:left w:val="outset" w:sz="6" w:space="0" w:color="auto"/>
              <w:bottom w:val="outset" w:sz="6" w:space="0" w:color="auto"/>
              <w:right w:val="outset" w:sz="6" w:space="0" w:color="auto"/>
            </w:tcBorders>
            <w:hideMark/>
          </w:tcPr>
          <w:p w14:paraId="63221A3A" w14:textId="77777777" w:rsidR="007C5A7F" w:rsidRPr="000701E8" w:rsidRDefault="007C5A7F" w:rsidP="007C5A7F">
            <w:pPr>
              <w:rPr>
                <w:iCs/>
              </w:rPr>
            </w:pPr>
            <w:r w:rsidRPr="000701E8">
              <w:rPr>
                <w:iCs/>
              </w:rPr>
              <w:t>Projekts neietekmē amata vietu skaita izmaiņas.</w:t>
            </w:r>
          </w:p>
        </w:tc>
      </w:tr>
      <w:tr w:rsidR="000701E8" w:rsidRPr="000701E8" w14:paraId="426AEE96" w14:textId="77777777" w:rsidTr="00461EED">
        <w:trPr>
          <w:tblCellSpacing w:w="15" w:type="dxa"/>
        </w:trPr>
        <w:tc>
          <w:tcPr>
            <w:tcW w:w="1800" w:type="dxa"/>
            <w:tcBorders>
              <w:top w:val="outset" w:sz="6" w:space="0" w:color="auto"/>
              <w:left w:val="outset" w:sz="6" w:space="0" w:color="auto"/>
              <w:bottom w:val="outset" w:sz="6" w:space="0" w:color="auto"/>
              <w:right w:val="outset" w:sz="6" w:space="0" w:color="auto"/>
            </w:tcBorders>
            <w:hideMark/>
          </w:tcPr>
          <w:p w14:paraId="12794EA4" w14:textId="77777777" w:rsidR="007C5A7F" w:rsidRPr="000701E8" w:rsidRDefault="007C5A7F" w:rsidP="007C5A7F">
            <w:pPr>
              <w:rPr>
                <w:iCs/>
              </w:rPr>
            </w:pPr>
            <w:r w:rsidRPr="000701E8">
              <w:rPr>
                <w:iCs/>
              </w:rPr>
              <w:t>8. Cita informācija</w:t>
            </w:r>
          </w:p>
        </w:tc>
        <w:tc>
          <w:tcPr>
            <w:tcW w:w="8743" w:type="dxa"/>
            <w:gridSpan w:val="7"/>
            <w:tcBorders>
              <w:top w:val="outset" w:sz="6" w:space="0" w:color="auto"/>
              <w:left w:val="outset" w:sz="6" w:space="0" w:color="auto"/>
              <w:bottom w:val="outset" w:sz="6" w:space="0" w:color="auto"/>
              <w:right w:val="outset" w:sz="6" w:space="0" w:color="auto"/>
            </w:tcBorders>
            <w:hideMark/>
          </w:tcPr>
          <w:p w14:paraId="52CAA00D" w14:textId="77777777" w:rsidR="007C5A7F" w:rsidRPr="000701E8" w:rsidRDefault="007C5A7F" w:rsidP="007C5A7F">
            <w:pPr>
              <w:jc w:val="both"/>
              <w:rPr>
                <w:iCs/>
              </w:rPr>
            </w:pPr>
            <w:r w:rsidRPr="000701E8">
              <w:rPr>
                <w:iCs/>
              </w:rPr>
              <w:t>Projekta īstenošanai nepieciešamie valsts budžeta līdzekļi normatīvajos aktos noteiktajā kārtībā tiks pieprasīti no 74.resora “Gadskārtējā valsts budžeta izpildes procesā pārdalāmais finansējums” valsts budžeta programmas 80.00.00 “Nesadalītais finansējums Eiropas Savienības politiku instrumentu un pārējās ārvalstu finanšu palīdzības līdzfinansēto projektu un pasākumu īstenošanai”.</w:t>
            </w:r>
          </w:p>
        </w:tc>
      </w:tr>
    </w:tbl>
    <w:p w14:paraId="1B4FBE7F" w14:textId="63BDFED0" w:rsidR="007C5A7F" w:rsidRDefault="007C5A7F" w:rsidP="007C5A7F">
      <w:pPr>
        <w:rPr>
          <w:iCs/>
        </w:rPr>
      </w:pPr>
      <w:r w:rsidRPr="000701E8">
        <w:rPr>
          <w:iCs/>
        </w:rPr>
        <w:t xml:space="preserve">  </w:t>
      </w:r>
    </w:p>
    <w:p w14:paraId="0AE56EB2" w14:textId="77777777" w:rsidR="00606BF7" w:rsidRPr="000701E8" w:rsidRDefault="00606BF7" w:rsidP="007C5A7F">
      <w:pPr>
        <w:rPr>
          <w:iCs/>
        </w:rPr>
      </w:pPr>
    </w:p>
    <w:tbl>
      <w:tblPr>
        <w:tblW w:w="52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90"/>
      </w:tblGrid>
      <w:tr w:rsidR="000701E8" w:rsidRPr="000701E8" w14:paraId="3ED0CFE3" w14:textId="77777777" w:rsidTr="005C0EB7">
        <w:trPr>
          <w:tblCellSpacing w:w="15" w:type="dxa"/>
        </w:trPr>
        <w:tc>
          <w:tcPr>
            <w:tcW w:w="4965" w:type="pct"/>
            <w:tcBorders>
              <w:top w:val="outset" w:sz="6" w:space="0" w:color="auto"/>
              <w:left w:val="outset" w:sz="6" w:space="0" w:color="auto"/>
              <w:bottom w:val="outset" w:sz="6" w:space="0" w:color="auto"/>
              <w:right w:val="outset" w:sz="6" w:space="0" w:color="auto"/>
            </w:tcBorders>
            <w:vAlign w:val="center"/>
            <w:hideMark/>
          </w:tcPr>
          <w:p w14:paraId="5D4BC4FC" w14:textId="77777777" w:rsidR="007C5A7F" w:rsidRPr="000701E8" w:rsidRDefault="007C5A7F" w:rsidP="007C5A7F">
            <w:pPr>
              <w:rPr>
                <w:b/>
                <w:bCs/>
                <w:iCs/>
              </w:rPr>
            </w:pPr>
            <w:r w:rsidRPr="000701E8">
              <w:rPr>
                <w:b/>
                <w:bCs/>
                <w:iCs/>
              </w:rPr>
              <w:t>IV. Tiesību akta projekta ietekme uz spēkā esošo tiesību normu sistēmu</w:t>
            </w:r>
          </w:p>
        </w:tc>
      </w:tr>
      <w:tr w:rsidR="00606BF7" w:rsidRPr="000701E8" w14:paraId="5BB1F041" w14:textId="77777777" w:rsidTr="005C0EB7">
        <w:trPr>
          <w:tblCellSpacing w:w="15" w:type="dxa"/>
        </w:trPr>
        <w:tc>
          <w:tcPr>
            <w:tcW w:w="4965" w:type="pct"/>
            <w:tcBorders>
              <w:top w:val="outset" w:sz="6" w:space="0" w:color="auto"/>
              <w:left w:val="outset" w:sz="6" w:space="0" w:color="auto"/>
              <w:bottom w:val="outset" w:sz="6" w:space="0" w:color="auto"/>
              <w:right w:val="outset" w:sz="6" w:space="0" w:color="auto"/>
            </w:tcBorders>
            <w:vAlign w:val="center"/>
          </w:tcPr>
          <w:p w14:paraId="736A9A64" w14:textId="59C4ADC8" w:rsidR="00606BF7" w:rsidRPr="000701E8" w:rsidRDefault="00606BF7" w:rsidP="007C5A7F">
            <w:pPr>
              <w:rPr>
                <w:b/>
                <w:bCs/>
                <w:iCs/>
              </w:rPr>
            </w:pPr>
            <w:r>
              <w:rPr>
                <w:iCs/>
              </w:rPr>
              <w:t>MK noteikumu grozījumu projekts šo jomu neskar.</w:t>
            </w:r>
          </w:p>
        </w:tc>
      </w:tr>
    </w:tbl>
    <w:p w14:paraId="1CFD3BCD" w14:textId="0E300591" w:rsidR="007C5A7F" w:rsidRDefault="007C5A7F" w:rsidP="007C5A7F">
      <w:pPr>
        <w:rPr>
          <w:iCs/>
        </w:rPr>
      </w:pPr>
      <w:r w:rsidRPr="000701E8">
        <w:rPr>
          <w:iCs/>
        </w:rPr>
        <w:t xml:space="preserve">  </w:t>
      </w:r>
    </w:p>
    <w:p w14:paraId="635234BC" w14:textId="77777777" w:rsidR="00606BF7" w:rsidRPr="000701E8" w:rsidRDefault="00606BF7" w:rsidP="007C5A7F">
      <w:pPr>
        <w:rPr>
          <w:iCs/>
        </w:rPr>
      </w:pPr>
    </w:p>
    <w:tbl>
      <w:tblPr>
        <w:tblW w:w="52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690"/>
      </w:tblGrid>
      <w:tr w:rsidR="00441A52" w:rsidRPr="000701E8" w14:paraId="2CCD5951" w14:textId="77777777" w:rsidTr="00CB2E8B">
        <w:trPr>
          <w:tblCellSpacing w:w="15" w:type="dxa"/>
        </w:trPr>
        <w:tc>
          <w:tcPr>
            <w:tcW w:w="4965" w:type="pct"/>
            <w:tcBorders>
              <w:top w:val="outset" w:sz="6" w:space="0" w:color="auto"/>
              <w:left w:val="outset" w:sz="6" w:space="0" w:color="auto"/>
              <w:bottom w:val="outset" w:sz="6" w:space="0" w:color="auto"/>
              <w:right w:val="outset" w:sz="6" w:space="0" w:color="auto"/>
            </w:tcBorders>
            <w:vAlign w:val="center"/>
            <w:hideMark/>
          </w:tcPr>
          <w:p w14:paraId="39EBF972" w14:textId="70C1AA8A" w:rsidR="00441A52" w:rsidRPr="000701E8" w:rsidRDefault="00441A52" w:rsidP="00441A52">
            <w:pPr>
              <w:rPr>
                <w:b/>
                <w:bCs/>
                <w:iCs/>
              </w:rPr>
            </w:pPr>
            <w:r>
              <w:rPr>
                <w:b/>
                <w:bCs/>
                <w:iCs/>
              </w:rPr>
              <w:t>V. Tiesību akta projekta atbilstība Latvijas Republikas starptautiskajām saistībām</w:t>
            </w:r>
          </w:p>
        </w:tc>
      </w:tr>
      <w:tr w:rsidR="00441A52" w:rsidRPr="000701E8" w14:paraId="6D6E26A7" w14:textId="77777777" w:rsidTr="00CB2E8B">
        <w:trPr>
          <w:tblCellSpacing w:w="15" w:type="dxa"/>
        </w:trPr>
        <w:tc>
          <w:tcPr>
            <w:tcW w:w="4965" w:type="pct"/>
            <w:tcBorders>
              <w:top w:val="outset" w:sz="6" w:space="0" w:color="auto"/>
              <w:left w:val="outset" w:sz="6" w:space="0" w:color="auto"/>
              <w:bottom w:val="outset" w:sz="6" w:space="0" w:color="auto"/>
              <w:right w:val="outset" w:sz="6" w:space="0" w:color="auto"/>
            </w:tcBorders>
            <w:vAlign w:val="center"/>
          </w:tcPr>
          <w:p w14:paraId="0368FAE7" w14:textId="26FC28D5" w:rsidR="00441A52" w:rsidRDefault="00441A52" w:rsidP="00441A52">
            <w:pPr>
              <w:rPr>
                <w:b/>
                <w:bCs/>
                <w:iCs/>
              </w:rPr>
            </w:pPr>
            <w:r>
              <w:rPr>
                <w:iCs/>
              </w:rPr>
              <w:t xml:space="preserve">MK noteikumu </w:t>
            </w:r>
            <w:r w:rsidR="00606BF7">
              <w:rPr>
                <w:iCs/>
              </w:rPr>
              <w:t xml:space="preserve">grozījumu </w:t>
            </w:r>
            <w:r>
              <w:rPr>
                <w:iCs/>
              </w:rPr>
              <w:t>projekts šo jomu neskar.</w:t>
            </w:r>
          </w:p>
        </w:tc>
      </w:tr>
    </w:tbl>
    <w:p w14:paraId="2B80303C" w14:textId="3CB2E554" w:rsidR="007C5A7F" w:rsidRDefault="007C5A7F" w:rsidP="007C5A7F">
      <w:pPr>
        <w:rPr>
          <w:iCs/>
        </w:rPr>
      </w:pPr>
      <w:r w:rsidRPr="000701E8">
        <w:rPr>
          <w:iCs/>
        </w:rPr>
        <w:t xml:space="preserve">  </w:t>
      </w:r>
    </w:p>
    <w:p w14:paraId="3B5DF458" w14:textId="77777777" w:rsidR="00441A52" w:rsidRPr="000701E8" w:rsidRDefault="00441A52" w:rsidP="007C5A7F">
      <w:pPr>
        <w:rPr>
          <w:iCs/>
        </w:rPr>
      </w:pPr>
    </w:p>
    <w:tbl>
      <w:tblPr>
        <w:tblW w:w="52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8"/>
        <w:gridCol w:w="2562"/>
        <w:gridCol w:w="5600"/>
      </w:tblGrid>
      <w:tr w:rsidR="000701E8" w:rsidRPr="000701E8" w14:paraId="47C9CFC7" w14:textId="77777777" w:rsidTr="000E55F7">
        <w:trPr>
          <w:tblCellSpacing w:w="15" w:type="dxa"/>
        </w:trPr>
        <w:tc>
          <w:tcPr>
            <w:tcW w:w="4965" w:type="pct"/>
            <w:gridSpan w:val="3"/>
            <w:tcBorders>
              <w:top w:val="outset" w:sz="6" w:space="0" w:color="auto"/>
              <w:left w:val="outset" w:sz="6" w:space="0" w:color="auto"/>
              <w:bottom w:val="outset" w:sz="6" w:space="0" w:color="auto"/>
              <w:right w:val="outset" w:sz="6" w:space="0" w:color="auto"/>
            </w:tcBorders>
            <w:vAlign w:val="center"/>
            <w:hideMark/>
          </w:tcPr>
          <w:p w14:paraId="6FC731AE" w14:textId="77777777" w:rsidR="007C5A7F" w:rsidRPr="000701E8" w:rsidRDefault="007C5A7F" w:rsidP="007C5A7F">
            <w:pPr>
              <w:rPr>
                <w:b/>
                <w:bCs/>
                <w:iCs/>
              </w:rPr>
            </w:pPr>
            <w:r w:rsidRPr="000701E8">
              <w:rPr>
                <w:b/>
                <w:bCs/>
                <w:iCs/>
              </w:rPr>
              <w:t>VI. Sabiedrības līdzdalība un komunikācijas aktivitātes</w:t>
            </w:r>
          </w:p>
        </w:tc>
      </w:tr>
      <w:tr w:rsidR="000701E8" w:rsidRPr="000701E8" w14:paraId="6B80B785" w14:textId="77777777" w:rsidTr="000E55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2434F0F8" w14:textId="77777777" w:rsidR="007C5A7F" w:rsidRPr="000701E8" w:rsidRDefault="007C5A7F" w:rsidP="007C5A7F">
            <w:pPr>
              <w:rPr>
                <w:iCs/>
              </w:rPr>
            </w:pPr>
            <w:r w:rsidRPr="000701E8">
              <w:rPr>
                <w:iCs/>
              </w:rPr>
              <w:t>1.</w:t>
            </w:r>
          </w:p>
        </w:tc>
        <w:tc>
          <w:tcPr>
            <w:tcW w:w="1467" w:type="pct"/>
            <w:tcBorders>
              <w:top w:val="outset" w:sz="6" w:space="0" w:color="auto"/>
              <w:left w:val="outset" w:sz="6" w:space="0" w:color="auto"/>
              <w:bottom w:val="outset" w:sz="6" w:space="0" w:color="auto"/>
              <w:right w:val="outset" w:sz="6" w:space="0" w:color="auto"/>
            </w:tcBorders>
            <w:hideMark/>
          </w:tcPr>
          <w:p w14:paraId="1E0D0E3F" w14:textId="77777777" w:rsidR="007C5A7F" w:rsidRPr="000701E8" w:rsidRDefault="007C5A7F" w:rsidP="007C5A7F">
            <w:pPr>
              <w:rPr>
                <w:iCs/>
              </w:rPr>
            </w:pPr>
            <w:r w:rsidRPr="000701E8">
              <w:rPr>
                <w:iCs/>
              </w:rPr>
              <w:t>Plānotās sabiedrības līdzdalības un komunikācijas aktivitātes saistībā ar projektu</w:t>
            </w:r>
          </w:p>
        </w:tc>
        <w:tc>
          <w:tcPr>
            <w:tcW w:w="3184" w:type="pct"/>
            <w:tcBorders>
              <w:top w:val="outset" w:sz="6" w:space="0" w:color="auto"/>
              <w:left w:val="outset" w:sz="6" w:space="0" w:color="auto"/>
              <w:bottom w:val="outset" w:sz="6" w:space="0" w:color="auto"/>
              <w:right w:val="outset" w:sz="6" w:space="0" w:color="auto"/>
            </w:tcBorders>
            <w:hideMark/>
          </w:tcPr>
          <w:p w14:paraId="75E84A8B" w14:textId="4B000FED" w:rsidR="007C5A7F" w:rsidRPr="000701E8" w:rsidRDefault="007C5A7F" w:rsidP="007C5A7F">
            <w:pPr>
              <w:jc w:val="both"/>
              <w:rPr>
                <w:iCs/>
              </w:rPr>
            </w:pPr>
            <w:r w:rsidRPr="000701E8">
              <w:rPr>
                <w:bCs/>
                <w:iCs/>
              </w:rPr>
              <w:t>Atbilstoši M</w:t>
            </w:r>
            <w:r w:rsidR="007E3F5D">
              <w:rPr>
                <w:bCs/>
                <w:iCs/>
              </w:rPr>
              <w:t>K</w:t>
            </w:r>
            <w:r w:rsidRPr="000701E8">
              <w:rPr>
                <w:bCs/>
                <w:iCs/>
              </w:rPr>
              <w:t xml:space="preserve"> 2009.gada 25.augusta noteikumu Nr.970 „Sabiedrības līdzdalības kārtība attīstības plānošanas procesā” 7.4.</w:t>
            </w:r>
            <w:r w:rsidRPr="000701E8">
              <w:rPr>
                <w:bCs/>
                <w:iCs/>
                <w:vertAlign w:val="superscript"/>
              </w:rPr>
              <w:t>1</w:t>
            </w:r>
            <w:r w:rsidRPr="000701E8">
              <w:rPr>
                <w:bCs/>
                <w:iCs/>
              </w:rPr>
              <w:t xml:space="preserve"> apakšpunktam sabiedrībai ir dota iespēja rakstiski sniegt viedokli par noteikumu projektu tā izstrādes stadijā.</w:t>
            </w:r>
          </w:p>
        </w:tc>
      </w:tr>
      <w:tr w:rsidR="000701E8" w:rsidRPr="000701E8" w14:paraId="6393C730" w14:textId="77777777" w:rsidTr="000E55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440D616D" w14:textId="77777777" w:rsidR="007C5A7F" w:rsidRPr="000701E8" w:rsidRDefault="007C5A7F" w:rsidP="007C5A7F">
            <w:pPr>
              <w:rPr>
                <w:iCs/>
              </w:rPr>
            </w:pPr>
            <w:r w:rsidRPr="000701E8">
              <w:rPr>
                <w:iCs/>
              </w:rPr>
              <w:t>2.</w:t>
            </w:r>
          </w:p>
        </w:tc>
        <w:tc>
          <w:tcPr>
            <w:tcW w:w="1467" w:type="pct"/>
            <w:tcBorders>
              <w:top w:val="outset" w:sz="6" w:space="0" w:color="auto"/>
              <w:left w:val="outset" w:sz="6" w:space="0" w:color="auto"/>
              <w:bottom w:val="outset" w:sz="6" w:space="0" w:color="auto"/>
              <w:right w:val="outset" w:sz="6" w:space="0" w:color="auto"/>
            </w:tcBorders>
            <w:hideMark/>
          </w:tcPr>
          <w:p w14:paraId="505F7308" w14:textId="77777777" w:rsidR="007C5A7F" w:rsidRPr="000701E8" w:rsidRDefault="007C5A7F" w:rsidP="007C5A7F">
            <w:pPr>
              <w:rPr>
                <w:iCs/>
              </w:rPr>
            </w:pPr>
            <w:r w:rsidRPr="000701E8">
              <w:rPr>
                <w:iCs/>
              </w:rPr>
              <w:t>Sabiedrības līdzdalība projekta izstrādē</w:t>
            </w:r>
          </w:p>
        </w:tc>
        <w:tc>
          <w:tcPr>
            <w:tcW w:w="3184" w:type="pct"/>
            <w:tcBorders>
              <w:top w:val="outset" w:sz="6" w:space="0" w:color="auto"/>
              <w:left w:val="outset" w:sz="6" w:space="0" w:color="auto"/>
              <w:bottom w:val="outset" w:sz="6" w:space="0" w:color="auto"/>
              <w:right w:val="outset" w:sz="6" w:space="0" w:color="auto"/>
            </w:tcBorders>
            <w:hideMark/>
          </w:tcPr>
          <w:p w14:paraId="78CCCAFA" w14:textId="4010CCE8" w:rsidR="007C5A7F" w:rsidRPr="000701E8" w:rsidRDefault="007C5A7F" w:rsidP="00552FEB">
            <w:pPr>
              <w:jc w:val="both"/>
              <w:rPr>
                <w:iCs/>
              </w:rPr>
            </w:pPr>
            <w:r w:rsidRPr="000701E8">
              <w:rPr>
                <w:rFonts w:eastAsia="Calibri"/>
                <w:lang w:eastAsia="en-US"/>
              </w:rPr>
              <w:t>Atbilstoši M</w:t>
            </w:r>
            <w:r w:rsidR="007E3F5D">
              <w:rPr>
                <w:rFonts w:eastAsia="Calibri"/>
                <w:lang w:eastAsia="en-US"/>
              </w:rPr>
              <w:t>K</w:t>
            </w:r>
            <w:r w:rsidRPr="000701E8">
              <w:rPr>
                <w:rFonts w:eastAsia="Calibri"/>
                <w:lang w:eastAsia="en-US"/>
              </w:rPr>
              <w:t xml:space="preserve"> 2009.gada 25.augusta noteikumiem Nr.970 „Sabiedrības līdzdalības kārtība attīstības plānošanas procesā” par projekta izstrādi ir informēti </w:t>
            </w:r>
            <w:r w:rsidRPr="000701E8">
              <w:rPr>
                <w:rFonts w:eastAsia="Calibri"/>
                <w:lang w:eastAsia="en-US"/>
              </w:rPr>
              <w:lastRenderedPageBreak/>
              <w:t>sabiedrības pārstāvji, ievietojot paziņojumu par līdzdalības iespējām tiesību akta izstrādes procesā Satiksmes ministrijas tīmekļa vietnē</w:t>
            </w:r>
            <w:r w:rsidR="00255630">
              <w:rPr>
                <w:rFonts w:eastAsia="Calibri"/>
                <w:lang w:eastAsia="en-US"/>
              </w:rPr>
              <w:t xml:space="preserve"> </w:t>
            </w:r>
            <w:hyperlink r:id="rId8" w:history="1">
              <w:r w:rsidR="00255630" w:rsidRPr="000701E8">
                <w:rPr>
                  <w:rFonts w:eastAsia="Calibri"/>
                  <w:u w:val="single"/>
                  <w:lang w:eastAsia="en-US"/>
                </w:rPr>
                <w:t>www.sam.gov.lv</w:t>
              </w:r>
            </w:hyperlink>
            <w:r w:rsidR="00255630" w:rsidRPr="000701E8">
              <w:rPr>
                <w:rFonts w:eastAsia="Calibri"/>
                <w:lang w:eastAsia="en-US"/>
              </w:rPr>
              <w:t>.</w:t>
            </w:r>
          </w:p>
        </w:tc>
      </w:tr>
      <w:tr w:rsidR="000701E8" w:rsidRPr="000701E8" w14:paraId="75DDFCFA" w14:textId="77777777" w:rsidTr="000E55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374D6BB5" w14:textId="77777777" w:rsidR="007C5A7F" w:rsidRPr="000701E8" w:rsidRDefault="007C5A7F" w:rsidP="007C5A7F">
            <w:pPr>
              <w:rPr>
                <w:iCs/>
              </w:rPr>
            </w:pPr>
            <w:r w:rsidRPr="000701E8">
              <w:rPr>
                <w:iCs/>
              </w:rPr>
              <w:lastRenderedPageBreak/>
              <w:t>3.</w:t>
            </w:r>
          </w:p>
        </w:tc>
        <w:tc>
          <w:tcPr>
            <w:tcW w:w="1467" w:type="pct"/>
            <w:tcBorders>
              <w:top w:val="outset" w:sz="6" w:space="0" w:color="auto"/>
              <w:left w:val="outset" w:sz="6" w:space="0" w:color="auto"/>
              <w:bottom w:val="outset" w:sz="6" w:space="0" w:color="auto"/>
              <w:right w:val="outset" w:sz="6" w:space="0" w:color="auto"/>
            </w:tcBorders>
            <w:hideMark/>
          </w:tcPr>
          <w:p w14:paraId="3029CE7B" w14:textId="77777777" w:rsidR="007C5A7F" w:rsidRPr="000701E8" w:rsidRDefault="007C5A7F" w:rsidP="007C5A7F">
            <w:pPr>
              <w:rPr>
                <w:iCs/>
              </w:rPr>
            </w:pPr>
            <w:r w:rsidRPr="000701E8">
              <w:rPr>
                <w:iCs/>
              </w:rPr>
              <w:t>Sabiedrības līdzdalības rezultāti</w:t>
            </w:r>
          </w:p>
        </w:tc>
        <w:tc>
          <w:tcPr>
            <w:tcW w:w="3184" w:type="pct"/>
            <w:tcBorders>
              <w:top w:val="outset" w:sz="6" w:space="0" w:color="auto"/>
              <w:left w:val="outset" w:sz="6" w:space="0" w:color="auto"/>
              <w:bottom w:val="outset" w:sz="6" w:space="0" w:color="auto"/>
              <w:right w:val="outset" w:sz="6" w:space="0" w:color="auto"/>
            </w:tcBorders>
            <w:hideMark/>
          </w:tcPr>
          <w:p w14:paraId="4EE30259" w14:textId="466C6F1D" w:rsidR="007C5A7F" w:rsidRPr="000701E8" w:rsidRDefault="00255630" w:rsidP="007C5A7F">
            <w:pPr>
              <w:rPr>
                <w:iCs/>
              </w:rPr>
            </w:pPr>
            <w:r w:rsidRPr="000701E8">
              <w:rPr>
                <w:rFonts w:eastAsia="Calibri"/>
                <w:lang w:eastAsia="en-US"/>
              </w:rPr>
              <w:t>Tiks papildināts.</w:t>
            </w:r>
          </w:p>
        </w:tc>
      </w:tr>
      <w:tr w:rsidR="000701E8" w:rsidRPr="000701E8" w14:paraId="0D31C422" w14:textId="77777777" w:rsidTr="000E55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14:paraId="603EEB32" w14:textId="77777777" w:rsidR="007C5A7F" w:rsidRPr="000701E8" w:rsidRDefault="007C5A7F" w:rsidP="007C5A7F">
            <w:pPr>
              <w:rPr>
                <w:iCs/>
              </w:rPr>
            </w:pPr>
            <w:r w:rsidRPr="000701E8">
              <w:rPr>
                <w:iCs/>
              </w:rPr>
              <w:t>4.</w:t>
            </w:r>
          </w:p>
        </w:tc>
        <w:tc>
          <w:tcPr>
            <w:tcW w:w="1467" w:type="pct"/>
            <w:tcBorders>
              <w:top w:val="outset" w:sz="6" w:space="0" w:color="auto"/>
              <w:left w:val="outset" w:sz="6" w:space="0" w:color="auto"/>
              <w:bottom w:val="outset" w:sz="6" w:space="0" w:color="auto"/>
              <w:right w:val="outset" w:sz="6" w:space="0" w:color="auto"/>
            </w:tcBorders>
            <w:hideMark/>
          </w:tcPr>
          <w:p w14:paraId="68D1B80D" w14:textId="77777777" w:rsidR="007C5A7F" w:rsidRPr="000701E8" w:rsidRDefault="007C5A7F" w:rsidP="007C5A7F">
            <w:pPr>
              <w:rPr>
                <w:iCs/>
              </w:rPr>
            </w:pPr>
            <w:r w:rsidRPr="000701E8">
              <w:rPr>
                <w:iCs/>
              </w:rPr>
              <w:t>Cita informācija</w:t>
            </w:r>
          </w:p>
        </w:tc>
        <w:tc>
          <w:tcPr>
            <w:tcW w:w="3184" w:type="pct"/>
            <w:tcBorders>
              <w:top w:val="outset" w:sz="6" w:space="0" w:color="auto"/>
              <w:left w:val="outset" w:sz="6" w:space="0" w:color="auto"/>
              <w:bottom w:val="outset" w:sz="6" w:space="0" w:color="auto"/>
              <w:right w:val="outset" w:sz="6" w:space="0" w:color="auto"/>
            </w:tcBorders>
            <w:hideMark/>
          </w:tcPr>
          <w:p w14:paraId="508EB139" w14:textId="77777777" w:rsidR="007C5A7F" w:rsidRPr="00D72016" w:rsidRDefault="007C5A7F" w:rsidP="007C5A7F">
            <w:pPr>
              <w:rPr>
                <w:iCs/>
              </w:rPr>
            </w:pPr>
            <w:r w:rsidRPr="00D72016">
              <w:rPr>
                <w:rFonts w:eastAsia="Calibri"/>
                <w:lang w:eastAsia="en-US"/>
              </w:rPr>
              <w:t>Nav.</w:t>
            </w:r>
          </w:p>
        </w:tc>
      </w:tr>
    </w:tbl>
    <w:p w14:paraId="493DF975" w14:textId="77777777" w:rsidR="007C5A7F" w:rsidRPr="000701E8" w:rsidRDefault="007C5A7F" w:rsidP="007C5A7F">
      <w:pPr>
        <w:rPr>
          <w:iCs/>
        </w:rPr>
      </w:pPr>
      <w:r w:rsidRPr="000701E8">
        <w:rPr>
          <w:iCs/>
        </w:rPr>
        <w:t xml:space="preserve">  </w:t>
      </w:r>
    </w:p>
    <w:tbl>
      <w:tblPr>
        <w:tblW w:w="524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1"/>
        <w:gridCol w:w="2790"/>
        <w:gridCol w:w="5369"/>
      </w:tblGrid>
      <w:tr w:rsidR="000701E8" w:rsidRPr="000701E8" w14:paraId="032CC5A0" w14:textId="77777777" w:rsidTr="00E045F6">
        <w:trPr>
          <w:tblCellSpacing w:w="15" w:type="dxa"/>
        </w:trPr>
        <w:tc>
          <w:tcPr>
            <w:tcW w:w="4966" w:type="pct"/>
            <w:gridSpan w:val="3"/>
            <w:tcBorders>
              <w:top w:val="outset" w:sz="6" w:space="0" w:color="auto"/>
              <w:left w:val="outset" w:sz="6" w:space="0" w:color="auto"/>
              <w:bottom w:val="outset" w:sz="6" w:space="0" w:color="auto"/>
              <w:right w:val="outset" w:sz="6" w:space="0" w:color="auto"/>
            </w:tcBorders>
            <w:vAlign w:val="center"/>
            <w:hideMark/>
          </w:tcPr>
          <w:p w14:paraId="6997E4AE" w14:textId="77777777" w:rsidR="007C5A7F" w:rsidRPr="000701E8" w:rsidRDefault="007C5A7F" w:rsidP="007C5A7F">
            <w:pPr>
              <w:rPr>
                <w:b/>
                <w:bCs/>
                <w:iCs/>
              </w:rPr>
            </w:pPr>
            <w:r w:rsidRPr="000701E8">
              <w:rPr>
                <w:b/>
                <w:bCs/>
                <w:iCs/>
              </w:rPr>
              <w:t>VII. Tiesību akta projekta izpildes nodrošināšana un tās ietekme uz institūcijām</w:t>
            </w:r>
          </w:p>
        </w:tc>
      </w:tr>
      <w:tr w:rsidR="000701E8" w:rsidRPr="000701E8" w14:paraId="316FEF1E" w14:textId="77777777" w:rsidTr="00E045F6">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67A63981" w14:textId="77777777" w:rsidR="007C5A7F" w:rsidRPr="000701E8" w:rsidRDefault="007C5A7F" w:rsidP="007C5A7F">
            <w:pPr>
              <w:rPr>
                <w:iCs/>
              </w:rPr>
            </w:pPr>
            <w:r w:rsidRPr="000701E8">
              <w:rPr>
                <w:iCs/>
              </w:rPr>
              <w:t>1.</w:t>
            </w:r>
          </w:p>
        </w:tc>
        <w:tc>
          <w:tcPr>
            <w:tcW w:w="1599" w:type="pct"/>
            <w:tcBorders>
              <w:top w:val="outset" w:sz="6" w:space="0" w:color="auto"/>
              <w:left w:val="outset" w:sz="6" w:space="0" w:color="auto"/>
              <w:bottom w:val="outset" w:sz="6" w:space="0" w:color="auto"/>
              <w:right w:val="outset" w:sz="6" w:space="0" w:color="auto"/>
            </w:tcBorders>
            <w:hideMark/>
          </w:tcPr>
          <w:p w14:paraId="6EF8F469" w14:textId="77777777" w:rsidR="007C5A7F" w:rsidRPr="000701E8" w:rsidRDefault="007C5A7F" w:rsidP="007C5A7F">
            <w:pPr>
              <w:rPr>
                <w:iCs/>
              </w:rPr>
            </w:pPr>
            <w:r w:rsidRPr="000701E8">
              <w:rPr>
                <w:iCs/>
              </w:rPr>
              <w:t>Projekta izpildē iesaistītās institūcijas</w:t>
            </w:r>
          </w:p>
        </w:tc>
        <w:tc>
          <w:tcPr>
            <w:tcW w:w="3052" w:type="pct"/>
            <w:tcBorders>
              <w:top w:val="outset" w:sz="6" w:space="0" w:color="auto"/>
              <w:left w:val="outset" w:sz="6" w:space="0" w:color="auto"/>
              <w:bottom w:val="outset" w:sz="6" w:space="0" w:color="auto"/>
              <w:right w:val="outset" w:sz="6" w:space="0" w:color="auto"/>
            </w:tcBorders>
            <w:hideMark/>
          </w:tcPr>
          <w:p w14:paraId="5FC55C39" w14:textId="3F8CEF11" w:rsidR="007C5A7F" w:rsidRPr="000701E8" w:rsidRDefault="007C5A7F" w:rsidP="007C5A7F">
            <w:pPr>
              <w:rPr>
                <w:iCs/>
              </w:rPr>
            </w:pPr>
            <w:r w:rsidRPr="000701E8">
              <w:rPr>
                <w:rFonts w:eastAsia="Calibri"/>
                <w:lang w:eastAsia="en-US"/>
              </w:rPr>
              <w:t>Satiksmes ministrija, Sadarbības iestāde.</w:t>
            </w:r>
          </w:p>
        </w:tc>
      </w:tr>
      <w:tr w:rsidR="000701E8" w:rsidRPr="000701E8" w14:paraId="015D238D" w14:textId="77777777" w:rsidTr="00E045F6">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E3527C5" w14:textId="77777777" w:rsidR="007C5A7F" w:rsidRPr="000701E8" w:rsidRDefault="007C5A7F" w:rsidP="007C5A7F">
            <w:pPr>
              <w:rPr>
                <w:iCs/>
              </w:rPr>
            </w:pPr>
            <w:r w:rsidRPr="000701E8">
              <w:rPr>
                <w:iCs/>
              </w:rPr>
              <w:t>2.</w:t>
            </w:r>
          </w:p>
        </w:tc>
        <w:tc>
          <w:tcPr>
            <w:tcW w:w="1599" w:type="pct"/>
            <w:tcBorders>
              <w:top w:val="outset" w:sz="6" w:space="0" w:color="auto"/>
              <w:left w:val="outset" w:sz="6" w:space="0" w:color="auto"/>
              <w:bottom w:val="outset" w:sz="6" w:space="0" w:color="auto"/>
              <w:right w:val="outset" w:sz="6" w:space="0" w:color="auto"/>
            </w:tcBorders>
            <w:hideMark/>
          </w:tcPr>
          <w:p w14:paraId="48436A30" w14:textId="77777777" w:rsidR="007C5A7F" w:rsidRPr="000701E8" w:rsidRDefault="007C5A7F" w:rsidP="007C5A7F">
            <w:pPr>
              <w:rPr>
                <w:iCs/>
              </w:rPr>
            </w:pPr>
            <w:r w:rsidRPr="000701E8">
              <w:rPr>
                <w:iCs/>
              </w:rPr>
              <w:t>Projekta izpildes ietekme uz pārvaldes funkcijām un institucionālo struktūru.</w:t>
            </w:r>
            <w:r w:rsidRPr="000701E8">
              <w:rPr>
                <w:iCs/>
              </w:rPr>
              <w:br/>
              <w:t>Jaunu institūciju izveide, esošu institūciju likvidācija vai reorganizācija, to ietekme uz institūcijas cilvēkresursiem</w:t>
            </w:r>
          </w:p>
        </w:tc>
        <w:tc>
          <w:tcPr>
            <w:tcW w:w="3052" w:type="pct"/>
            <w:tcBorders>
              <w:top w:val="outset" w:sz="6" w:space="0" w:color="auto"/>
              <w:left w:val="outset" w:sz="6" w:space="0" w:color="auto"/>
              <w:bottom w:val="outset" w:sz="6" w:space="0" w:color="auto"/>
              <w:right w:val="outset" w:sz="6" w:space="0" w:color="auto"/>
            </w:tcBorders>
            <w:hideMark/>
          </w:tcPr>
          <w:p w14:paraId="5D4D8110" w14:textId="4618F431" w:rsidR="007C5A7F" w:rsidRPr="000701E8" w:rsidRDefault="007C5A7F" w:rsidP="007C5A7F">
            <w:pPr>
              <w:jc w:val="both"/>
              <w:rPr>
                <w:iCs/>
              </w:rPr>
            </w:pPr>
            <w:r w:rsidRPr="000701E8">
              <w:rPr>
                <w:iCs/>
              </w:rPr>
              <w:t xml:space="preserve">Pēc </w:t>
            </w:r>
            <w:r w:rsidRPr="000701E8">
              <w:rPr>
                <w:rFonts w:eastAsia="Calibri"/>
                <w:lang w:eastAsia="en-US"/>
              </w:rPr>
              <w:t xml:space="preserve">MK noteikumu projekta </w:t>
            </w:r>
            <w:r w:rsidRPr="000701E8">
              <w:rPr>
                <w:iCs/>
              </w:rPr>
              <w:t>spēkā stāšanās Sadarbības iestādei</w:t>
            </w:r>
            <w:r w:rsidRPr="000701E8">
              <w:rPr>
                <w:rFonts w:eastAsia="Calibri"/>
                <w:lang w:eastAsia="en-US"/>
              </w:rPr>
              <w:t xml:space="preserve"> būs nepieciešams  izsludināt  6.2.1.2.pasākuma projektu iesniegumu atlases 2.kārtu</w:t>
            </w:r>
            <w:r w:rsidR="00B30FA5">
              <w:rPr>
                <w:rFonts w:eastAsia="Calibri"/>
                <w:lang w:eastAsia="en-US"/>
              </w:rPr>
              <w:t xml:space="preserve">. </w:t>
            </w:r>
            <w:r w:rsidR="00441A52">
              <w:rPr>
                <w:rFonts w:eastAsia="Calibri"/>
                <w:lang w:eastAsia="en-US"/>
              </w:rPr>
              <w:t>Nav plānota jaunu institūc</w:t>
            </w:r>
            <w:r w:rsidR="00381815">
              <w:rPr>
                <w:rFonts w:eastAsia="Calibri"/>
                <w:lang w:eastAsia="en-US"/>
              </w:rPr>
              <w:t>i</w:t>
            </w:r>
            <w:r w:rsidR="00441A52">
              <w:rPr>
                <w:rFonts w:eastAsia="Calibri"/>
                <w:lang w:eastAsia="en-US"/>
              </w:rPr>
              <w:t>ju</w:t>
            </w:r>
            <w:r w:rsidR="00381815">
              <w:rPr>
                <w:rFonts w:eastAsia="Calibri"/>
                <w:lang w:eastAsia="en-US"/>
              </w:rPr>
              <w:t xml:space="preserve"> izveide, </w:t>
            </w:r>
            <w:r w:rsidR="00441A52">
              <w:rPr>
                <w:rFonts w:eastAsia="Calibri"/>
                <w:lang w:eastAsia="en-US"/>
              </w:rPr>
              <w:t>esošu institūciju likvidācija vai reorganizācija.</w:t>
            </w:r>
          </w:p>
        </w:tc>
      </w:tr>
      <w:tr w:rsidR="000701E8" w:rsidRPr="000701E8" w14:paraId="27CAD604" w14:textId="77777777" w:rsidTr="00E045F6">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6D297870" w14:textId="77777777" w:rsidR="007C5A7F" w:rsidRPr="000701E8" w:rsidRDefault="007C5A7F" w:rsidP="007C5A7F">
            <w:pPr>
              <w:rPr>
                <w:iCs/>
              </w:rPr>
            </w:pPr>
            <w:r w:rsidRPr="000701E8">
              <w:rPr>
                <w:iCs/>
              </w:rPr>
              <w:t>3.</w:t>
            </w:r>
          </w:p>
        </w:tc>
        <w:tc>
          <w:tcPr>
            <w:tcW w:w="1599" w:type="pct"/>
            <w:tcBorders>
              <w:top w:val="outset" w:sz="6" w:space="0" w:color="auto"/>
              <w:left w:val="outset" w:sz="6" w:space="0" w:color="auto"/>
              <w:bottom w:val="outset" w:sz="6" w:space="0" w:color="auto"/>
              <w:right w:val="outset" w:sz="6" w:space="0" w:color="auto"/>
            </w:tcBorders>
            <w:hideMark/>
          </w:tcPr>
          <w:p w14:paraId="6AFE64EF" w14:textId="77777777" w:rsidR="007C5A7F" w:rsidRPr="000701E8" w:rsidRDefault="007C5A7F" w:rsidP="007C5A7F">
            <w:pPr>
              <w:rPr>
                <w:iCs/>
              </w:rPr>
            </w:pPr>
            <w:r w:rsidRPr="000701E8">
              <w:rPr>
                <w:iCs/>
              </w:rPr>
              <w:t>Cita informācija</w:t>
            </w:r>
          </w:p>
        </w:tc>
        <w:tc>
          <w:tcPr>
            <w:tcW w:w="3052" w:type="pct"/>
            <w:tcBorders>
              <w:top w:val="outset" w:sz="6" w:space="0" w:color="auto"/>
              <w:left w:val="outset" w:sz="6" w:space="0" w:color="auto"/>
              <w:bottom w:val="outset" w:sz="6" w:space="0" w:color="auto"/>
              <w:right w:val="outset" w:sz="6" w:space="0" w:color="auto"/>
            </w:tcBorders>
            <w:hideMark/>
          </w:tcPr>
          <w:p w14:paraId="3C732121" w14:textId="4BC8346A" w:rsidR="007C5A7F" w:rsidRPr="000701E8" w:rsidRDefault="007C5A7F" w:rsidP="007C5A7F">
            <w:pPr>
              <w:rPr>
                <w:iCs/>
              </w:rPr>
            </w:pPr>
            <w:r w:rsidRPr="000701E8">
              <w:rPr>
                <w:rFonts w:eastAsia="Calibri"/>
                <w:lang w:eastAsia="en-US"/>
              </w:rPr>
              <w:t>Nav</w:t>
            </w:r>
            <w:r w:rsidR="00CB2E8B">
              <w:rPr>
                <w:rFonts w:eastAsia="Calibri"/>
                <w:lang w:eastAsia="en-US"/>
              </w:rPr>
              <w:t>.</w:t>
            </w:r>
          </w:p>
        </w:tc>
      </w:tr>
    </w:tbl>
    <w:p w14:paraId="2B8127ED" w14:textId="77777777" w:rsidR="007C5A7F" w:rsidRPr="000701E8" w:rsidRDefault="007C5A7F" w:rsidP="007C5A7F">
      <w:pPr>
        <w:rPr>
          <w:rFonts w:eastAsia="Calibri"/>
          <w:sz w:val="28"/>
          <w:szCs w:val="28"/>
          <w:lang w:eastAsia="en-US"/>
        </w:rPr>
      </w:pPr>
    </w:p>
    <w:p w14:paraId="5321EA72" w14:textId="1B2A8418" w:rsidR="00895A59" w:rsidRPr="000701E8" w:rsidRDefault="00895A59" w:rsidP="00895A59">
      <w:pPr>
        <w:jc w:val="both"/>
      </w:pPr>
      <w:r w:rsidRPr="000701E8">
        <w:t>Iesniedzējs:</w:t>
      </w:r>
    </w:p>
    <w:p w14:paraId="572C04F5" w14:textId="75E321CB" w:rsidR="00895A59" w:rsidRPr="000701E8" w:rsidRDefault="002A69A1" w:rsidP="00895A59">
      <w:pPr>
        <w:tabs>
          <w:tab w:val="left" w:pos="6379"/>
        </w:tabs>
        <w:jc w:val="both"/>
      </w:pPr>
      <w:r>
        <w:t>S</w:t>
      </w:r>
      <w:r w:rsidR="00895A59" w:rsidRPr="000701E8">
        <w:t>atiksmes ministrs</w:t>
      </w:r>
      <w:r w:rsidR="00895A59" w:rsidRPr="000701E8">
        <w:tab/>
        <w:t>T</w:t>
      </w:r>
      <w:r w:rsidR="008B77F7" w:rsidRPr="000701E8">
        <w:t>.</w:t>
      </w:r>
      <w:r w:rsidR="00895A59" w:rsidRPr="000701E8">
        <w:t xml:space="preserve"> Linkaits</w:t>
      </w:r>
    </w:p>
    <w:p w14:paraId="36297426" w14:textId="6F59AEBE" w:rsidR="003812EE" w:rsidRPr="000701E8" w:rsidRDefault="003812EE" w:rsidP="00895A59">
      <w:pPr>
        <w:pStyle w:val="naisf"/>
        <w:spacing w:before="0" w:beforeAutospacing="0" w:after="0" w:afterAutospacing="0"/>
      </w:pPr>
    </w:p>
    <w:p w14:paraId="56FF1023" w14:textId="77777777" w:rsidR="003812EE" w:rsidRPr="000701E8" w:rsidRDefault="003812EE" w:rsidP="003812EE">
      <w:pPr>
        <w:jc w:val="both"/>
      </w:pPr>
      <w:r w:rsidRPr="000701E8">
        <w:t>Vīza:</w:t>
      </w:r>
    </w:p>
    <w:p w14:paraId="63565591" w14:textId="799F23C5" w:rsidR="003812EE" w:rsidRPr="000701E8" w:rsidRDefault="00F53DD6" w:rsidP="005F67A3">
      <w:pPr>
        <w:tabs>
          <w:tab w:val="left" w:pos="1134"/>
        </w:tabs>
        <w:jc w:val="both"/>
      </w:pPr>
      <w:r w:rsidRPr="009C3A0A">
        <w:rPr>
          <w:color w:val="000000" w:themeColor="text1"/>
        </w:rPr>
        <w:t>Valsts sekretār</w:t>
      </w:r>
      <w:r>
        <w:rPr>
          <w:color w:val="000000" w:themeColor="text1"/>
        </w:rPr>
        <w:t xml:space="preserve">e </w:t>
      </w:r>
      <w:r w:rsidRPr="009C3A0A">
        <w:rPr>
          <w:rFonts w:cs="Calibri"/>
          <w:lang w:val="en-US" w:eastAsia="en-US"/>
        </w:rPr>
        <w:t xml:space="preserve"> </w:t>
      </w:r>
      <w:r>
        <w:rPr>
          <w:rFonts w:cs="Calibri"/>
          <w:lang w:val="en-US" w:eastAsia="en-US"/>
        </w:rPr>
        <w:t xml:space="preserve">                                                                              </w:t>
      </w:r>
      <w:r w:rsidR="005F67A3">
        <w:rPr>
          <w:rFonts w:cs="Calibri"/>
          <w:lang w:val="en-US" w:eastAsia="en-US"/>
        </w:rPr>
        <w:t>I.Stepanova</w:t>
      </w:r>
      <w:r>
        <w:rPr>
          <w:rFonts w:cs="Calibri"/>
          <w:lang w:val="en-US" w:eastAsia="en-US"/>
        </w:rPr>
        <w:t xml:space="preserve">                                               </w:t>
      </w:r>
    </w:p>
    <w:p w14:paraId="0E4987A2" w14:textId="2CD70714" w:rsidR="00E44472" w:rsidRPr="000701E8" w:rsidRDefault="00E44472" w:rsidP="00895A59">
      <w:pPr>
        <w:rPr>
          <w:b/>
        </w:rPr>
      </w:pPr>
    </w:p>
    <w:sectPr w:rsidR="00E44472" w:rsidRPr="000701E8" w:rsidSect="00422B44">
      <w:headerReference w:type="default" r:id="rId9"/>
      <w:footerReference w:type="defaul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6A332" w14:textId="77777777" w:rsidR="003B5556" w:rsidRDefault="003B5556" w:rsidP="00846F01">
      <w:r>
        <w:separator/>
      </w:r>
    </w:p>
  </w:endnote>
  <w:endnote w:type="continuationSeparator" w:id="0">
    <w:p w14:paraId="5300790C" w14:textId="77777777" w:rsidR="003B5556" w:rsidRDefault="003B5556" w:rsidP="0084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EF500" w14:textId="2D46AC07" w:rsidR="003B5556" w:rsidRPr="00AB2BD0" w:rsidRDefault="003B5556" w:rsidP="00AB2BD0">
    <w:pPr>
      <w:pStyle w:val="Footer"/>
      <w:rPr>
        <w:sz w:val="20"/>
        <w:szCs w:val="20"/>
      </w:rPr>
    </w:pPr>
    <w:r w:rsidRPr="007C5A7F">
      <w:rPr>
        <w:sz w:val="20"/>
        <w:szCs w:val="20"/>
      </w:rPr>
      <w:t>SMAnot_</w:t>
    </w:r>
    <w:r>
      <w:rPr>
        <w:sz w:val="20"/>
        <w:szCs w:val="20"/>
      </w:rPr>
      <w:t>210</w:t>
    </w:r>
    <w:r w:rsidR="00422B44">
      <w:rPr>
        <w:sz w:val="20"/>
        <w:szCs w:val="20"/>
      </w:rPr>
      <w:t>7</w:t>
    </w:r>
    <w:r>
      <w:rPr>
        <w:sz w:val="20"/>
        <w:szCs w:val="20"/>
      </w:rPr>
      <w:t>20</w:t>
    </w:r>
    <w:r w:rsidRPr="007C5A7F">
      <w:rPr>
        <w:sz w:val="20"/>
        <w:szCs w:val="20"/>
      </w:rPr>
      <w:t>_</w:t>
    </w:r>
    <w:r>
      <w:rPr>
        <w:sz w:val="20"/>
        <w:szCs w:val="20"/>
      </w:rPr>
      <w:t>Groz</w:t>
    </w:r>
    <w:r w:rsidRPr="007C5A7F">
      <w:rPr>
        <w:sz w:val="20"/>
        <w:szCs w:val="20"/>
      </w:rPr>
      <w:t>404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A9F28" w14:textId="1D228DB9" w:rsidR="003B5556" w:rsidRPr="007C5A7F" w:rsidRDefault="003B5556">
    <w:pPr>
      <w:pStyle w:val="Footer"/>
      <w:rPr>
        <w:sz w:val="20"/>
        <w:szCs w:val="20"/>
      </w:rPr>
    </w:pPr>
    <w:bookmarkStart w:id="3" w:name="_Hlk32309925"/>
    <w:bookmarkStart w:id="4" w:name="_Hlk32309926"/>
    <w:r w:rsidRPr="007C5A7F">
      <w:rPr>
        <w:sz w:val="20"/>
        <w:szCs w:val="20"/>
      </w:rPr>
      <w:t>SMAnot_</w:t>
    </w:r>
    <w:r>
      <w:rPr>
        <w:sz w:val="20"/>
        <w:szCs w:val="20"/>
      </w:rPr>
      <w:t>210</w:t>
    </w:r>
    <w:r w:rsidR="00422B44">
      <w:rPr>
        <w:sz w:val="20"/>
        <w:szCs w:val="20"/>
      </w:rPr>
      <w:t>7</w:t>
    </w:r>
    <w:r>
      <w:rPr>
        <w:sz w:val="20"/>
        <w:szCs w:val="20"/>
      </w:rPr>
      <w:t>20</w:t>
    </w:r>
    <w:r w:rsidRPr="007C5A7F">
      <w:rPr>
        <w:sz w:val="20"/>
        <w:szCs w:val="20"/>
      </w:rPr>
      <w:t>_</w:t>
    </w:r>
    <w:r>
      <w:rPr>
        <w:sz w:val="20"/>
        <w:szCs w:val="20"/>
      </w:rPr>
      <w:t>Groz</w:t>
    </w:r>
    <w:r w:rsidRPr="007C5A7F">
      <w:rPr>
        <w:sz w:val="20"/>
        <w:szCs w:val="20"/>
      </w:rPr>
      <w:t>404</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80A3B" w14:textId="77777777" w:rsidR="003B5556" w:rsidRDefault="003B5556" w:rsidP="00846F01">
      <w:r>
        <w:separator/>
      </w:r>
    </w:p>
  </w:footnote>
  <w:footnote w:type="continuationSeparator" w:id="0">
    <w:p w14:paraId="27EF5916" w14:textId="77777777" w:rsidR="003B5556" w:rsidRDefault="003B5556" w:rsidP="00846F01">
      <w:r>
        <w:continuationSeparator/>
      </w:r>
    </w:p>
  </w:footnote>
  <w:footnote w:id="1">
    <w:p w14:paraId="6D22E45D" w14:textId="77777777" w:rsidR="003B5556" w:rsidRPr="00C242D5" w:rsidRDefault="003B5556" w:rsidP="0098763D">
      <w:pPr>
        <w:pStyle w:val="FootnoteText"/>
        <w:jc w:val="both"/>
      </w:pPr>
      <w:r>
        <w:rPr>
          <w:rStyle w:val="FootnoteReference"/>
        </w:rPr>
        <w:footnoteRef/>
      </w:r>
      <w:r>
        <w:t xml:space="preserve"> </w:t>
      </w:r>
      <w:r w:rsidRPr="00C242D5">
        <w:t>Ministru kabinet</w:t>
      </w:r>
      <w:r>
        <w:t>a 2020.gada 19.maija sēdes protokols Nr.34</w:t>
      </w:r>
      <w:r w:rsidRPr="00C242D5">
        <w:t xml:space="preserve"> </w:t>
      </w:r>
      <w:r>
        <w:t>33</w:t>
      </w:r>
      <w:r w:rsidRPr="00C242D5">
        <w:t xml:space="preserve">.§ </w:t>
      </w:r>
      <w:r>
        <w:t>“</w:t>
      </w:r>
      <w:r w:rsidRPr="00C242D5">
        <w:t xml:space="preserve">Informatīvais ziņojums </w:t>
      </w:r>
      <w:r>
        <w:t>“</w:t>
      </w:r>
      <w:r w:rsidRPr="00C242D5">
        <w:t>Par Eiropas Savienības struktūrfondu un Kohēzijas fonda finansējuma pārdalēm un risinājumiem COVID-19 seku mazināšanai</w:t>
      </w:r>
      <w:r>
        <w:t>””</w:t>
      </w:r>
    </w:p>
  </w:footnote>
  <w:footnote w:id="2">
    <w:p w14:paraId="3513C1EE" w14:textId="77777777" w:rsidR="00AD077B" w:rsidRDefault="00AD077B" w:rsidP="00AD077B">
      <w:pPr>
        <w:pStyle w:val="FootnoteText"/>
      </w:pPr>
      <w:r>
        <w:rPr>
          <w:rStyle w:val="FootnoteReference"/>
        </w:rPr>
        <w:footnoteRef/>
      </w:r>
      <w:r>
        <w:t xml:space="preserve"> </w:t>
      </w:r>
      <w:r w:rsidRPr="00C242D5">
        <w:t>Ministru kabinet</w:t>
      </w:r>
      <w:r>
        <w:t>a 2020.gada 30.jūnija sēdes protokols Nr.42</w:t>
      </w:r>
      <w:r w:rsidRPr="00C242D5">
        <w:t xml:space="preserve"> </w:t>
      </w:r>
      <w:r>
        <w:t>59</w:t>
      </w:r>
      <w:r w:rsidRPr="00C242D5">
        <w:t>.§</w:t>
      </w:r>
      <w:r>
        <w:t xml:space="preserve"> “</w:t>
      </w:r>
      <w:r w:rsidRPr="00AD077B">
        <w:t>Rīkojuma projekts "Grozījumi Eiropas Savienības struktūrfondu un Kohēzijas fonda 2014.-2020.gada plānošanas perioda darbības programmā "Izaugsme un nodarbinātība""</w:t>
      </w:r>
    </w:p>
  </w:footnote>
  <w:footnote w:id="3">
    <w:p w14:paraId="5342B102" w14:textId="77777777" w:rsidR="003B5556" w:rsidRPr="0037048F" w:rsidRDefault="003B5556" w:rsidP="0037048F">
      <w:pPr>
        <w:pStyle w:val="FootnoteText"/>
      </w:pPr>
      <w:r w:rsidRPr="0037048F">
        <w:rPr>
          <w:rStyle w:val="FootnoteReference"/>
        </w:rPr>
        <w:footnoteRef/>
      </w:r>
      <w:r w:rsidRPr="0037048F">
        <w:t xml:space="preserve"> </w:t>
      </w:r>
      <w:r w:rsidRPr="0037048F">
        <w:rPr>
          <w:iCs/>
        </w:rPr>
        <w:t xml:space="preserve">LDz valde 2020.gada martā pieņēma lēmumu par projektu </w:t>
      </w:r>
      <w:r w:rsidRPr="0037048F">
        <w:t xml:space="preserve">“Latvijas dzelzceļa tīkla elektrifikācija” (346 milj.euro) un “Daugavpils pieņemšanas parka un tam piebraucamo ceļu attīstība” (37 milj.euro) īstenošanas pārtraukšanu. </w:t>
      </w:r>
    </w:p>
  </w:footnote>
  <w:footnote w:id="4">
    <w:p w14:paraId="78B3CCC3" w14:textId="6C37DA0F" w:rsidR="003B5556" w:rsidRPr="000863D8" w:rsidRDefault="003B5556" w:rsidP="000863D8">
      <w:pPr>
        <w:spacing w:after="120"/>
        <w:ind w:left="360"/>
        <w:jc w:val="both"/>
        <w:rPr>
          <w:iCs/>
        </w:rPr>
      </w:pPr>
      <w:r>
        <w:rPr>
          <w:rStyle w:val="FootnoteReference"/>
        </w:rPr>
        <w:footnoteRef/>
      </w:r>
      <w:r>
        <w:t xml:space="preserve"> </w:t>
      </w:r>
      <w:r w:rsidRPr="000863D8">
        <w:rPr>
          <w:iCs/>
        </w:rPr>
        <w:t xml:space="preserve"> </w:t>
      </w:r>
      <w:r w:rsidRPr="000863D8">
        <w:rPr>
          <w:iCs/>
          <w:sz w:val="20"/>
          <w:szCs w:val="20"/>
        </w:rPr>
        <w:t>palielināts darbības programmā noteiktais iznākuma rādītājs no 21 līdz 45 stacijām (palielinājums par 24 stacijām).</w:t>
      </w:r>
    </w:p>
    <w:p w14:paraId="5FBE4FB5" w14:textId="24C35292" w:rsidR="003B5556" w:rsidRDefault="003B55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87B1A" w14:textId="223B0D9E" w:rsidR="003B5556" w:rsidRDefault="003B5556" w:rsidP="007250F8">
    <w:pPr>
      <w:pStyle w:val="Header"/>
      <w:tabs>
        <w:tab w:val="clear" w:pos="8306"/>
        <w:tab w:val="left" w:pos="5459"/>
        <w:tab w:val="left" w:pos="5940"/>
      </w:tabs>
    </w:pPr>
    <w:r>
      <w:tab/>
    </w:r>
    <w:sdt>
      <w:sdtPr>
        <w:id w:val="-18415344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sidR="00422B44">
      <w:rPr>
        <w:noProof/>
      </w:rPr>
      <w:tab/>
      <w:t xml:space="preserve"> </w:t>
    </w:r>
  </w:p>
  <w:p w14:paraId="0C150E0F" w14:textId="77777777" w:rsidR="003B5556" w:rsidRDefault="003B5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E2921"/>
    <w:multiLevelType w:val="hybridMultilevel"/>
    <w:tmpl w:val="396C4AFC"/>
    <w:lvl w:ilvl="0" w:tplc="BED68F3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32674C"/>
    <w:multiLevelType w:val="hybridMultilevel"/>
    <w:tmpl w:val="D354FA8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6682C"/>
    <w:multiLevelType w:val="hybridMultilevel"/>
    <w:tmpl w:val="4524E6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43F00"/>
    <w:multiLevelType w:val="hybridMultilevel"/>
    <w:tmpl w:val="2334EF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393C01"/>
    <w:multiLevelType w:val="hybridMultilevel"/>
    <w:tmpl w:val="13B8D1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91145"/>
    <w:multiLevelType w:val="multilevel"/>
    <w:tmpl w:val="F8604350"/>
    <w:lvl w:ilvl="0">
      <w:start w:val="1"/>
      <w:numFmt w:val="decimal"/>
      <w:lvlText w:val="%1."/>
      <w:lvlJc w:val="left"/>
      <w:pPr>
        <w:ind w:left="1637"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891236"/>
    <w:multiLevelType w:val="hybridMultilevel"/>
    <w:tmpl w:val="0F22FFA2"/>
    <w:lvl w:ilvl="0" w:tplc="F300C9B8">
      <w:start w:val="26"/>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3DAB7A31"/>
    <w:multiLevelType w:val="hybridMultilevel"/>
    <w:tmpl w:val="55C62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DB5485"/>
    <w:multiLevelType w:val="hybridMultilevel"/>
    <w:tmpl w:val="77BAA1F4"/>
    <w:lvl w:ilvl="0" w:tplc="5D60A58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5BB33046"/>
    <w:multiLevelType w:val="hybridMultilevel"/>
    <w:tmpl w:val="AEC657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4C0EDE"/>
    <w:multiLevelType w:val="hybridMultilevel"/>
    <w:tmpl w:val="4B7AD9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2E78BD"/>
    <w:multiLevelType w:val="hybridMultilevel"/>
    <w:tmpl w:val="3A32D92C"/>
    <w:lvl w:ilvl="0" w:tplc="5C7C875C">
      <w:start w:val="26"/>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7BD91856"/>
    <w:multiLevelType w:val="hybridMultilevel"/>
    <w:tmpl w:val="AD90F2D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7E4A288D"/>
    <w:multiLevelType w:val="hybridMultilevel"/>
    <w:tmpl w:val="A2C87E8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8"/>
  </w:num>
  <w:num w:numId="4">
    <w:abstractNumId w:val="0"/>
  </w:num>
  <w:num w:numId="5">
    <w:abstractNumId w:val="4"/>
  </w:num>
  <w:num w:numId="6">
    <w:abstractNumId w:val="9"/>
  </w:num>
  <w:num w:numId="7">
    <w:abstractNumId w:val="6"/>
  </w:num>
  <w:num w:numId="8">
    <w:abstractNumId w:val="11"/>
  </w:num>
  <w:num w:numId="9">
    <w:abstractNumId w:val="7"/>
  </w:num>
  <w:num w:numId="10">
    <w:abstractNumId w:val="1"/>
  </w:num>
  <w:num w:numId="11">
    <w:abstractNumId w:val="5"/>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48E1"/>
    <w:rsid w:val="00020DC7"/>
    <w:rsid w:val="00021050"/>
    <w:rsid w:val="0002284A"/>
    <w:rsid w:val="00032D96"/>
    <w:rsid w:val="00043FFE"/>
    <w:rsid w:val="000452C5"/>
    <w:rsid w:val="00045788"/>
    <w:rsid w:val="00051178"/>
    <w:rsid w:val="000701E8"/>
    <w:rsid w:val="0007141C"/>
    <w:rsid w:val="0007339A"/>
    <w:rsid w:val="00080B95"/>
    <w:rsid w:val="000863D8"/>
    <w:rsid w:val="000874CF"/>
    <w:rsid w:val="00087DBC"/>
    <w:rsid w:val="000A5E48"/>
    <w:rsid w:val="000C1787"/>
    <w:rsid w:val="000C26C3"/>
    <w:rsid w:val="000C55A3"/>
    <w:rsid w:val="000E55F7"/>
    <w:rsid w:val="000F74B8"/>
    <w:rsid w:val="000F7D7B"/>
    <w:rsid w:val="00130AC8"/>
    <w:rsid w:val="00137557"/>
    <w:rsid w:val="00147204"/>
    <w:rsid w:val="00150C57"/>
    <w:rsid w:val="0015651D"/>
    <w:rsid w:val="001567B5"/>
    <w:rsid w:val="0016234F"/>
    <w:rsid w:val="00162D3A"/>
    <w:rsid w:val="001661C7"/>
    <w:rsid w:val="0018445B"/>
    <w:rsid w:val="00196DBA"/>
    <w:rsid w:val="001A0E2B"/>
    <w:rsid w:val="001B2BF4"/>
    <w:rsid w:val="001B3B54"/>
    <w:rsid w:val="001B4D5B"/>
    <w:rsid w:val="001B6660"/>
    <w:rsid w:val="001B7DAC"/>
    <w:rsid w:val="001C09E6"/>
    <w:rsid w:val="001C19CE"/>
    <w:rsid w:val="001D5C69"/>
    <w:rsid w:val="001E0F4D"/>
    <w:rsid w:val="001E1AE2"/>
    <w:rsid w:val="001E2B90"/>
    <w:rsid w:val="001E74FE"/>
    <w:rsid w:val="002024EA"/>
    <w:rsid w:val="00205FCA"/>
    <w:rsid w:val="002207DE"/>
    <w:rsid w:val="00224AD5"/>
    <w:rsid w:val="00225D2A"/>
    <w:rsid w:val="00225E68"/>
    <w:rsid w:val="00225FDD"/>
    <w:rsid w:val="00255630"/>
    <w:rsid w:val="002608C1"/>
    <w:rsid w:val="00275FF0"/>
    <w:rsid w:val="00287A2A"/>
    <w:rsid w:val="002A2466"/>
    <w:rsid w:val="002A69A1"/>
    <w:rsid w:val="002B364B"/>
    <w:rsid w:val="002D4B72"/>
    <w:rsid w:val="002E1A3A"/>
    <w:rsid w:val="002E4087"/>
    <w:rsid w:val="00311746"/>
    <w:rsid w:val="0031549D"/>
    <w:rsid w:val="00331B65"/>
    <w:rsid w:val="00334497"/>
    <w:rsid w:val="0033781E"/>
    <w:rsid w:val="00337840"/>
    <w:rsid w:val="003429BA"/>
    <w:rsid w:val="00344727"/>
    <w:rsid w:val="003615D5"/>
    <w:rsid w:val="00366023"/>
    <w:rsid w:val="0037048F"/>
    <w:rsid w:val="003777E7"/>
    <w:rsid w:val="003812EE"/>
    <w:rsid w:val="00381815"/>
    <w:rsid w:val="003978E4"/>
    <w:rsid w:val="003A6F66"/>
    <w:rsid w:val="003B5556"/>
    <w:rsid w:val="003C0488"/>
    <w:rsid w:val="003C1FD7"/>
    <w:rsid w:val="003C4153"/>
    <w:rsid w:val="003D572F"/>
    <w:rsid w:val="003D5B28"/>
    <w:rsid w:val="003D5B69"/>
    <w:rsid w:val="003E2366"/>
    <w:rsid w:val="003E26E5"/>
    <w:rsid w:val="003F09A3"/>
    <w:rsid w:val="003F6468"/>
    <w:rsid w:val="0040027D"/>
    <w:rsid w:val="004165B6"/>
    <w:rsid w:val="00422B44"/>
    <w:rsid w:val="00441A52"/>
    <w:rsid w:val="00461ACB"/>
    <w:rsid w:val="00461EED"/>
    <w:rsid w:val="00472E8B"/>
    <w:rsid w:val="004935CB"/>
    <w:rsid w:val="004A47AC"/>
    <w:rsid w:val="004A5AE8"/>
    <w:rsid w:val="004B63ED"/>
    <w:rsid w:val="004D063C"/>
    <w:rsid w:val="004E1341"/>
    <w:rsid w:val="004F1B96"/>
    <w:rsid w:val="004F3729"/>
    <w:rsid w:val="004F7EA7"/>
    <w:rsid w:val="00501AE5"/>
    <w:rsid w:val="00507C46"/>
    <w:rsid w:val="00512F95"/>
    <w:rsid w:val="005139EA"/>
    <w:rsid w:val="0053545B"/>
    <w:rsid w:val="00545636"/>
    <w:rsid w:val="00552FEB"/>
    <w:rsid w:val="00553F77"/>
    <w:rsid w:val="00556D93"/>
    <w:rsid w:val="005933E5"/>
    <w:rsid w:val="005A5FE0"/>
    <w:rsid w:val="005A70A3"/>
    <w:rsid w:val="005B0768"/>
    <w:rsid w:val="005B3E7B"/>
    <w:rsid w:val="005B646B"/>
    <w:rsid w:val="005C0EB7"/>
    <w:rsid w:val="005D667C"/>
    <w:rsid w:val="005E148A"/>
    <w:rsid w:val="005E2AF8"/>
    <w:rsid w:val="005F67A3"/>
    <w:rsid w:val="00606BF7"/>
    <w:rsid w:val="0060782B"/>
    <w:rsid w:val="00613E7A"/>
    <w:rsid w:val="00627720"/>
    <w:rsid w:val="00632A9B"/>
    <w:rsid w:val="00640EDE"/>
    <w:rsid w:val="00647470"/>
    <w:rsid w:val="00650132"/>
    <w:rsid w:val="00656DD6"/>
    <w:rsid w:val="00662A23"/>
    <w:rsid w:val="00666FC2"/>
    <w:rsid w:val="00670356"/>
    <w:rsid w:val="00675F43"/>
    <w:rsid w:val="0067724E"/>
    <w:rsid w:val="0068065A"/>
    <w:rsid w:val="00682BB3"/>
    <w:rsid w:val="00687CD2"/>
    <w:rsid w:val="006957EE"/>
    <w:rsid w:val="006A158A"/>
    <w:rsid w:val="006C2566"/>
    <w:rsid w:val="006C7705"/>
    <w:rsid w:val="006C7AAE"/>
    <w:rsid w:val="006D36C9"/>
    <w:rsid w:val="006F3852"/>
    <w:rsid w:val="0072014E"/>
    <w:rsid w:val="007250F8"/>
    <w:rsid w:val="007826A4"/>
    <w:rsid w:val="00782EA0"/>
    <w:rsid w:val="0078414A"/>
    <w:rsid w:val="007B1667"/>
    <w:rsid w:val="007B2918"/>
    <w:rsid w:val="007B362F"/>
    <w:rsid w:val="007B6513"/>
    <w:rsid w:val="007C04C2"/>
    <w:rsid w:val="007C4344"/>
    <w:rsid w:val="007C5A7F"/>
    <w:rsid w:val="007E3F5D"/>
    <w:rsid w:val="008058AB"/>
    <w:rsid w:val="00807806"/>
    <w:rsid w:val="00820061"/>
    <w:rsid w:val="00821BBD"/>
    <w:rsid w:val="008302C8"/>
    <w:rsid w:val="008419F3"/>
    <w:rsid w:val="00844FF6"/>
    <w:rsid w:val="00846F01"/>
    <w:rsid w:val="00852B80"/>
    <w:rsid w:val="0085458C"/>
    <w:rsid w:val="008637F4"/>
    <w:rsid w:val="00863838"/>
    <w:rsid w:val="008758FF"/>
    <w:rsid w:val="00875ABF"/>
    <w:rsid w:val="00876D1E"/>
    <w:rsid w:val="0087760D"/>
    <w:rsid w:val="00882922"/>
    <w:rsid w:val="00892A0E"/>
    <w:rsid w:val="00895A59"/>
    <w:rsid w:val="008B0FC2"/>
    <w:rsid w:val="008B5F77"/>
    <w:rsid w:val="008B629D"/>
    <w:rsid w:val="008B77F7"/>
    <w:rsid w:val="008C25AD"/>
    <w:rsid w:val="008C7A81"/>
    <w:rsid w:val="008D0168"/>
    <w:rsid w:val="008E08EF"/>
    <w:rsid w:val="008E258A"/>
    <w:rsid w:val="008F6C96"/>
    <w:rsid w:val="0091410E"/>
    <w:rsid w:val="0092568F"/>
    <w:rsid w:val="009256F2"/>
    <w:rsid w:val="00937B2D"/>
    <w:rsid w:val="00941333"/>
    <w:rsid w:val="009534A0"/>
    <w:rsid w:val="00954DCE"/>
    <w:rsid w:val="009553F7"/>
    <w:rsid w:val="00955F14"/>
    <w:rsid w:val="00963E6C"/>
    <w:rsid w:val="00967FE8"/>
    <w:rsid w:val="009748ED"/>
    <w:rsid w:val="00974DDC"/>
    <w:rsid w:val="00975A7A"/>
    <w:rsid w:val="0098763D"/>
    <w:rsid w:val="00996725"/>
    <w:rsid w:val="009B0E35"/>
    <w:rsid w:val="009B28A3"/>
    <w:rsid w:val="009B3E7B"/>
    <w:rsid w:val="009B5CE8"/>
    <w:rsid w:val="009C3A55"/>
    <w:rsid w:val="009D520F"/>
    <w:rsid w:val="009E3649"/>
    <w:rsid w:val="009E4A8D"/>
    <w:rsid w:val="009E5505"/>
    <w:rsid w:val="00A00047"/>
    <w:rsid w:val="00A05E04"/>
    <w:rsid w:val="00A1337B"/>
    <w:rsid w:val="00A20654"/>
    <w:rsid w:val="00A2146E"/>
    <w:rsid w:val="00A313C6"/>
    <w:rsid w:val="00A47901"/>
    <w:rsid w:val="00A633B9"/>
    <w:rsid w:val="00A64138"/>
    <w:rsid w:val="00A66BD8"/>
    <w:rsid w:val="00A72ED9"/>
    <w:rsid w:val="00A80669"/>
    <w:rsid w:val="00A90A29"/>
    <w:rsid w:val="00A9445E"/>
    <w:rsid w:val="00A94B18"/>
    <w:rsid w:val="00AA34A5"/>
    <w:rsid w:val="00AB2BD0"/>
    <w:rsid w:val="00AD077B"/>
    <w:rsid w:val="00AE0799"/>
    <w:rsid w:val="00B22060"/>
    <w:rsid w:val="00B30C1A"/>
    <w:rsid w:val="00B30FA5"/>
    <w:rsid w:val="00B3386C"/>
    <w:rsid w:val="00B35DFE"/>
    <w:rsid w:val="00B62D61"/>
    <w:rsid w:val="00B6324E"/>
    <w:rsid w:val="00B6349A"/>
    <w:rsid w:val="00B75287"/>
    <w:rsid w:val="00B82958"/>
    <w:rsid w:val="00B93860"/>
    <w:rsid w:val="00B93992"/>
    <w:rsid w:val="00B94112"/>
    <w:rsid w:val="00BA44E1"/>
    <w:rsid w:val="00BB3F34"/>
    <w:rsid w:val="00BD5588"/>
    <w:rsid w:val="00BE70AD"/>
    <w:rsid w:val="00BE739D"/>
    <w:rsid w:val="00BF1EAB"/>
    <w:rsid w:val="00BF3017"/>
    <w:rsid w:val="00C03DE6"/>
    <w:rsid w:val="00C054F2"/>
    <w:rsid w:val="00C117EA"/>
    <w:rsid w:val="00C25F10"/>
    <w:rsid w:val="00C53BA3"/>
    <w:rsid w:val="00C61606"/>
    <w:rsid w:val="00C764EE"/>
    <w:rsid w:val="00C77241"/>
    <w:rsid w:val="00C93638"/>
    <w:rsid w:val="00CA2C6A"/>
    <w:rsid w:val="00CA2D98"/>
    <w:rsid w:val="00CA2F68"/>
    <w:rsid w:val="00CB2E8B"/>
    <w:rsid w:val="00CC360B"/>
    <w:rsid w:val="00CE4232"/>
    <w:rsid w:val="00CF49AE"/>
    <w:rsid w:val="00D01CF7"/>
    <w:rsid w:val="00D025A6"/>
    <w:rsid w:val="00D02A38"/>
    <w:rsid w:val="00D13367"/>
    <w:rsid w:val="00D250D3"/>
    <w:rsid w:val="00D37D11"/>
    <w:rsid w:val="00D400FE"/>
    <w:rsid w:val="00D4550D"/>
    <w:rsid w:val="00D57EF5"/>
    <w:rsid w:val="00D67D4F"/>
    <w:rsid w:val="00D72016"/>
    <w:rsid w:val="00D74160"/>
    <w:rsid w:val="00D7745F"/>
    <w:rsid w:val="00D83D6E"/>
    <w:rsid w:val="00D847F3"/>
    <w:rsid w:val="00D85C25"/>
    <w:rsid w:val="00D92101"/>
    <w:rsid w:val="00DA63FF"/>
    <w:rsid w:val="00DC4D1A"/>
    <w:rsid w:val="00DD054B"/>
    <w:rsid w:val="00DF559D"/>
    <w:rsid w:val="00E01929"/>
    <w:rsid w:val="00E045F6"/>
    <w:rsid w:val="00E12D2A"/>
    <w:rsid w:val="00E2789E"/>
    <w:rsid w:val="00E378CC"/>
    <w:rsid w:val="00E44472"/>
    <w:rsid w:val="00E85D45"/>
    <w:rsid w:val="00E930F1"/>
    <w:rsid w:val="00E946C7"/>
    <w:rsid w:val="00EC31BD"/>
    <w:rsid w:val="00EC62FB"/>
    <w:rsid w:val="00ED5DFB"/>
    <w:rsid w:val="00EE2077"/>
    <w:rsid w:val="00EE2C9E"/>
    <w:rsid w:val="00EF2397"/>
    <w:rsid w:val="00F01305"/>
    <w:rsid w:val="00F01ED1"/>
    <w:rsid w:val="00F10F8E"/>
    <w:rsid w:val="00F1625D"/>
    <w:rsid w:val="00F22C77"/>
    <w:rsid w:val="00F3654E"/>
    <w:rsid w:val="00F53335"/>
    <w:rsid w:val="00F53CD3"/>
    <w:rsid w:val="00F53DD6"/>
    <w:rsid w:val="00F559B5"/>
    <w:rsid w:val="00F61988"/>
    <w:rsid w:val="00F75BF8"/>
    <w:rsid w:val="00F7738F"/>
    <w:rsid w:val="00F83FB2"/>
    <w:rsid w:val="00F915D4"/>
    <w:rsid w:val="00FA1E1B"/>
    <w:rsid w:val="00FA4F54"/>
    <w:rsid w:val="00FB18D3"/>
    <w:rsid w:val="00FC5AC2"/>
    <w:rsid w:val="00FD3A41"/>
    <w:rsid w:val="00FF4DB4"/>
    <w:rsid w:val="00FF69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AD086"/>
  <w15:docId w15:val="{EE8DA7FD-3DC6-4CAC-84DC-2E8D73D0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08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qFormat/>
    <w:rsid w:val="007B362F"/>
    <w:pPr>
      <w:ind w:left="720"/>
      <w:contextualSpacing/>
    </w:pPr>
  </w:style>
  <w:style w:type="paragraph" w:customStyle="1" w:styleId="naisf">
    <w:name w:val="naisf"/>
    <w:basedOn w:val="Normal"/>
    <w:uiPriority w:val="99"/>
    <w:rsid w:val="00895A59"/>
    <w:pPr>
      <w:spacing w:before="100" w:beforeAutospacing="1" w:after="100" w:afterAutospacing="1"/>
    </w:pPr>
  </w:style>
  <w:style w:type="table" w:styleId="TableGrid">
    <w:name w:val="Table Grid"/>
    <w:basedOn w:val="TableNormal"/>
    <w:uiPriority w:val="59"/>
    <w:unhideWhenUsed/>
    <w:rsid w:val="00895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6F01"/>
    <w:pPr>
      <w:tabs>
        <w:tab w:val="center" w:pos="4153"/>
        <w:tab w:val="right" w:pos="8306"/>
      </w:tabs>
    </w:pPr>
  </w:style>
  <w:style w:type="character" w:customStyle="1" w:styleId="HeaderChar">
    <w:name w:val="Header Char"/>
    <w:basedOn w:val="DefaultParagraphFont"/>
    <w:link w:val="Header"/>
    <w:rsid w:val="00846F0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46F01"/>
    <w:pPr>
      <w:tabs>
        <w:tab w:val="center" w:pos="4153"/>
        <w:tab w:val="right" w:pos="8306"/>
      </w:tabs>
    </w:pPr>
  </w:style>
  <w:style w:type="character" w:customStyle="1" w:styleId="FooterChar">
    <w:name w:val="Footer Char"/>
    <w:basedOn w:val="DefaultParagraphFont"/>
    <w:link w:val="Footer"/>
    <w:uiPriority w:val="99"/>
    <w:rsid w:val="00846F0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925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F2"/>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83FB2"/>
    <w:rPr>
      <w:sz w:val="16"/>
      <w:szCs w:val="16"/>
    </w:rPr>
  </w:style>
  <w:style w:type="paragraph" w:styleId="CommentText">
    <w:name w:val="annotation text"/>
    <w:basedOn w:val="Normal"/>
    <w:link w:val="CommentTextChar"/>
    <w:uiPriority w:val="99"/>
    <w:semiHidden/>
    <w:unhideWhenUsed/>
    <w:rsid w:val="00F83FB2"/>
    <w:rPr>
      <w:sz w:val="20"/>
      <w:szCs w:val="20"/>
    </w:rPr>
  </w:style>
  <w:style w:type="character" w:customStyle="1" w:styleId="CommentTextChar">
    <w:name w:val="Comment Text Char"/>
    <w:basedOn w:val="DefaultParagraphFont"/>
    <w:link w:val="CommentText"/>
    <w:uiPriority w:val="99"/>
    <w:semiHidden/>
    <w:rsid w:val="00F83FB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3FB2"/>
    <w:rPr>
      <w:b/>
      <w:bCs/>
    </w:rPr>
  </w:style>
  <w:style w:type="character" w:customStyle="1" w:styleId="CommentSubjectChar">
    <w:name w:val="Comment Subject Char"/>
    <w:basedOn w:val="CommentTextChar"/>
    <w:link w:val="CommentSubject"/>
    <w:uiPriority w:val="99"/>
    <w:semiHidden/>
    <w:rsid w:val="00F83FB2"/>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B22060"/>
    <w:rPr>
      <w:color w:val="605E5C"/>
      <w:shd w:val="clear" w:color="auto" w:fill="E1DFDD"/>
    </w:rPr>
  </w:style>
  <w:style w:type="paragraph" w:styleId="Revision">
    <w:name w:val="Revision"/>
    <w:hidden/>
    <w:uiPriority w:val="99"/>
    <w:semiHidden/>
    <w:rsid w:val="00C054F2"/>
    <w:pPr>
      <w:spacing w:after="0"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Char,Vēres teksts Char Char Char Char Char Char Char Char Char Char Char Char1,Char Char Char Char Char Char Char Char Char Char Char Char Char Char Char Char Char Char Char1,-E Fußnotentext,f,fn, Char,Footnote Text Char1"/>
    <w:basedOn w:val="Normal"/>
    <w:link w:val="FootnoteTextChar"/>
    <w:uiPriority w:val="99"/>
    <w:unhideWhenUsed/>
    <w:qFormat/>
    <w:rsid w:val="00CE4232"/>
    <w:rPr>
      <w:sz w:val="20"/>
      <w:szCs w:val="20"/>
    </w:rPr>
  </w:style>
  <w:style w:type="character" w:customStyle="1" w:styleId="FootnoteTextChar">
    <w:name w:val="Footnote Text Char"/>
    <w:aliases w:val="Footnote Char,Fußnote Char,Char Char,Vēres teksts Char Char Char Char Char Char Char Char Char Char Char Char1 Char,Char Char Char Char Char Char Char Char Char Char Char Char Char Char Char Char Char Char Char1 Char,f Char,fn Char"/>
    <w:basedOn w:val="DefaultParagraphFont"/>
    <w:link w:val="FootnoteText"/>
    <w:uiPriority w:val="99"/>
    <w:qFormat/>
    <w:rsid w:val="00CE423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E4232"/>
    <w:rPr>
      <w:vertAlign w:val="superscript"/>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98763D"/>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link w:val="FootnoteReference"/>
    <w:uiPriority w:val="99"/>
    <w:rsid w:val="003D572F"/>
    <w:pPr>
      <w:spacing w:after="160" w:line="240" w:lineRule="exact"/>
      <w:jc w:val="both"/>
    </w:pPr>
    <w:rPr>
      <w:rFonts w:asciiTheme="minorHAnsi" w:eastAsiaTheme="minorHAnsi" w:hAnsiTheme="minorHAnsi" w:cstheme="minorBidi"/>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6641158">
      <w:bodyDiv w:val="1"/>
      <w:marLeft w:val="0"/>
      <w:marRight w:val="0"/>
      <w:marTop w:val="0"/>
      <w:marBottom w:val="0"/>
      <w:divBdr>
        <w:top w:val="none" w:sz="0" w:space="0" w:color="auto"/>
        <w:left w:val="none" w:sz="0" w:space="0" w:color="auto"/>
        <w:bottom w:val="none" w:sz="0" w:space="0" w:color="auto"/>
        <w:right w:val="none" w:sz="0" w:space="0" w:color="auto"/>
      </w:divBdr>
    </w:div>
    <w:div w:id="132481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3FE7-097B-4DC5-98AF-2A35F801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2279</Words>
  <Characters>12994</Characters>
  <Application>Microsoft Office Word</Application>
  <DocSecurity>0</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“Grozījums Ministru kabineta 2016.gada 21.jūnija noteikumos Nr.404 “Darbības programmas “Izaugsme un nodarbinātība” 6.2.1. specifiskā atbalsta mērķa "Nodrošināt konkurētspējīgu un videi draudzīgu TEN-T dzelzceļa tīklu,</vt:lpstr>
      <vt:lpstr>Ministru kabineta noteikumu projekta “Grozījums Ministru kabineta 2016.gada 21.jūnija noteikumos Nr.404 “Darbības programmas “Izaugsme un nodarbinātība” 6.2.1. specifiskā atbalsta mērķa "Nodrošināt konkurētspējīgu un videi draudzīgu TEN-T dzelzceļa tīklu,</vt:lpstr>
    </vt:vector>
  </TitlesOfParts>
  <Company>Satiksmes ministrija</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“Grozījums Ministru kabineta 2016.gada 21.jūnija noteikumos Nr.404 “Darbības programmas “Izaugsme un nodarbinātība” 6.2.1. specifiskā atbalsta mērķa "Nodrošināt konkurētspējīgu un videi draudzīgu TEN-T dzelzceļa tīklu, veicinot tā drošību, kvalitāti un kapacitāti” 6.2.1.2. pasākuma "Dzelzceļa infrastruktūras modernizācija un izbūve” īstenošanas noteikumi”” sākotnējās ietekmes novērtējuma ziņojums (anotācija)</dc:title>
  <dc:creator>Laura.Muizniece@sam.gov.lv</dc:creator>
  <cp:keywords>Anotācija Ministru kabineta noteikumu grozījumu projekts</cp:keywords>
  <dc:description>67028006, laura.muizniece@sam.gov.lv</dc:description>
  <cp:lastModifiedBy>Laura Muižniece</cp:lastModifiedBy>
  <cp:revision>11</cp:revision>
  <cp:lastPrinted>2020-03-31T08:05:00Z</cp:lastPrinted>
  <dcterms:created xsi:type="dcterms:W3CDTF">2020-07-30T11:13:00Z</dcterms:created>
  <dcterms:modified xsi:type="dcterms:W3CDTF">2020-08-06T13:26:00Z</dcterms:modified>
</cp:coreProperties>
</file>