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BF7D" w14:textId="77777777" w:rsidR="00115ADD" w:rsidRPr="001B1B02" w:rsidRDefault="00115ADD" w:rsidP="00115ADD">
      <w:pPr>
        <w:spacing w:after="120"/>
        <w:ind w:firstLine="426"/>
        <w:jc w:val="right"/>
        <w:rPr>
          <w:rFonts w:ascii="Times New Roman" w:eastAsia="Calibri" w:hAnsi="Times New Roman"/>
          <w:i/>
          <w:iCs/>
          <w:sz w:val="28"/>
          <w:szCs w:val="28"/>
        </w:rPr>
      </w:pPr>
      <w:r w:rsidRPr="001B1B02">
        <w:rPr>
          <w:rFonts w:ascii="Times New Roman" w:eastAsia="Calibri" w:hAnsi="Times New Roman"/>
          <w:i/>
          <w:iCs/>
          <w:sz w:val="28"/>
          <w:szCs w:val="28"/>
        </w:rPr>
        <w:t>Projekts</w:t>
      </w:r>
    </w:p>
    <w:p w14:paraId="1F62F3D5" w14:textId="77777777" w:rsidR="00115ADD" w:rsidRPr="001B1B02" w:rsidRDefault="00115ADD" w:rsidP="00115ADD">
      <w:pPr>
        <w:spacing w:after="120"/>
        <w:ind w:firstLine="426"/>
        <w:jc w:val="center"/>
        <w:rPr>
          <w:rFonts w:ascii="Times New Roman" w:eastAsia="Calibri" w:hAnsi="Times New Roman"/>
          <w:sz w:val="28"/>
          <w:szCs w:val="28"/>
        </w:rPr>
      </w:pPr>
      <w:r w:rsidRPr="001B1B02">
        <w:rPr>
          <w:rFonts w:ascii="Times New Roman" w:eastAsia="Calibri" w:hAnsi="Times New Roman"/>
          <w:sz w:val="28"/>
          <w:szCs w:val="28"/>
        </w:rPr>
        <w:t>LATVIJAS REPUBLIKAS MINISTRU KABINETS</w:t>
      </w:r>
    </w:p>
    <w:p w14:paraId="5A2AAEBE" w14:textId="77777777" w:rsidR="00693E40" w:rsidRPr="001B1B02" w:rsidRDefault="00693E40" w:rsidP="00115ADD">
      <w:pPr>
        <w:pStyle w:val="BodyText"/>
        <w:tabs>
          <w:tab w:val="left" w:pos="6480"/>
        </w:tabs>
        <w:ind w:right="-766"/>
        <w:jc w:val="left"/>
        <w:rPr>
          <w:b w:val="0"/>
          <w:bCs w:val="0"/>
          <w:sz w:val="28"/>
          <w:szCs w:val="28"/>
          <w:lang w:val="lv-LV" w:eastAsia="lv-LV"/>
        </w:rPr>
      </w:pPr>
    </w:p>
    <w:p w14:paraId="32F1182E" w14:textId="2DC11D08" w:rsidR="00115ADD" w:rsidRPr="001B1B02" w:rsidRDefault="00115ADD" w:rsidP="00115ADD">
      <w:pPr>
        <w:pStyle w:val="BodyText"/>
        <w:tabs>
          <w:tab w:val="left" w:pos="6480"/>
        </w:tabs>
        <w:ind w:right="-766"/>
        <w:jc w:val="left"/>
        <w:rPr>
          <w:b w:val="0"/>
          <w:bCs w:val="0"/>
          <w:sz w:val="28"/>
          <w:szCs w:val="28"/>
          <w:lang w:val="lv-LV" w:eastAsia="lv-LV"/>
        </w:rPr>
      </w:pPr>
      <w:r w:rsidRPr="001B1B02">
        <w:rPr>
          <w:b w:val="0"/>
          <w:bCs w:val="0"/>
          <w:sz w:val="28"/>
          <w:szCs w:val="28"/>
          <w:lang w:val="lv-LV" w:eastAsia="lv-LV"/>
        </w:rPr>
        <w:t>20</w:t>
      </w:r>
      <w:r w:rsidR="00E75842" w:rsidRPr="001B1B02">
        <w:rPr>
          <w:b w:val="0"/>
          <w:bCs w:val="0"/>
          <w:sz w:val="28"/>
          <w:szCs w:val="28"/>
          <w:lang w:val="lv-LV" w:eastAsia="lv-LV"/>
        </w:rPr>
        <w:t>2</w:t>
      </w:r>
      <w:r w:rsidR="004D34FF" w:rsidRPr="001B1B02">
        <w:rPr>
          <w:b w:val="0"/>
          <w:bCs w:val="0"/>
          <w:sz w:val="28"/>
          <w:szCs w:val="28"/>
          <w:lang w:val="lv-LV" w:eastAsia="lv-LV"/>
        </w:rPr>
        <w:t>1</w:t>
      </w:r>
      <w:r w:rsidRPr="001B1B02">
        <w:rPr>
          <w:b w:val="0"/>
          <w:bCs w:val="0"/>
          <w:sz w:val="28"/>
          <w:szCs w:val="28"/>
          <w:lang w:val="lv-LV" w:eastAsia="lv-LV"/>
        </w:rPr>
        <w:t xml:space="preserve">. gada </w:t>
      </w:r>
      <w:r w:rsidR="00761A93" w:rsidRPr="001B1B02">
        <w:rPr>
          <w:b w:val="0"/>
          <w:bCs w:val="0"/>
          <w:sz w:val="28"/>
          <w:szCs w:val="28"/>
          <w:lang w:val="lv-LV" w:eastAsia="lv-LV"/>
        </w:rPr>
        <w:t>__</w:t>
      </w:r>
      <w:r w:rsidRPr="001B1B02">
        <w:rPr>
          <w:b w:val="0"/>
          <w:bCs w:val="0"/>
          <w:sz w:val="28"/>
          <w:szCs w:val="28"/>
          <w:lang w:val="lv-LV" w:eastAsia="lv-LV"/>
        </w:rPr>
        <w:t>.</w:t>
      </w:r>
      <w:r w:rsidR="00761A93" w:rsidRPr="001B1B02">
        <w:rPr>
          <w:b w:val="0"/>
          <w:bCs w:val="0"/>
          <w:sz w:val="28"/>
          <w:szCs w:val="28"/>
          <w:lang w:val="lv-LV" w:eastAsia="lv-LV"/>
        </w:rPr>
        <w:t>____.</w:t>
      </w:r>
      <w:r w:rsidRPr="001B1B02">
        <w:rPr>
          <w:b w:val="0"/>
          <w:bCs w:val="0"/>
          <w:sz w:val="28"/>
          <w:szCs w:val="28"/>
          <w:lang w:val="lv-LV" w:eastAsia="lv-LV"/>
        </w:rPr>
        <w:tab/>
        <w:t>Noteikumi Nr.</w:t>
      </w:r>
      <w:r w:rsidR="00761A93" w:rsidRPr="001B1B02">
        <w:rPr>
          <w:b w:val="0"/>
          <w:bCs w:val="0"/>
          <w:sz w:val="28"/>
          <w:szCs w:val="28"/>
          <w:lang w:val="lv-LV" w:eastAsia="lv-LV"/>
        </w:rPr>
        <w:t>__</w:t>
      </w:r>
    </w:p>
    <w:p w14:paraId="66395CC6" w14:textId="0CAFFA2B" w:rsidR="00115ADD" w:rsidRPr="001B1B02" w:rsidRDefault="00115ADD" w:rsidP="00115ADD">
      <w:pPr>
        <w:tabs>
          <w:tab w:val="left" w:pos="6480"/>
        </w:tabs>
        <w:ind w:right="-766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Rīgā</w:t>
      </w:r>
      <w:r w:rsidRPr="001B1B02">
        <w:rPr>
          <w:rFonts w:ascii="Times New Roman" w:hAnsi="Times New Roman"/>
          <w:sz w:val="28"/>
          <w:szCs w:val="28"/>
        </w:rPr>
        <w:tab/>
        <w:t>(prot. Nr.</w:t>
      </w:r>
      <w:r w:rsidR="00761A93" w:rsidRPr="001B1B02">
        <w:rPr>
          <w:rFonts w:ascii="Times New Roman" w:hAnsi="Times New Roman"/>
          <w:sz w:val="28"/>
          <w:szCs w:val="28"/>
        </w:rPr>
        <w:t xml:space="preserve"> .</w:t>
      </w:r>
      <w:r w:rsidRPr="001B1B02">
        <w:rPr>
          <w:rFonts w:ascii="Times New Roman" w:hAnsi="Times New Roman"/>
          <w:sz w:val="28"/>
          <w:szCs w:val="28"/>
        </w:rPr>
        <w:t>.§)</w:t>
      </w:r>
    </w:p>
    <w:p w14:paraId="41A8FD62" w14:textId="77777777" w:rsidR="00115ADD" w:rsidRPr="001B1B02" w:rsidRDefault="00115ADD" w:rsidP="00115ADD">
      <w:pPr>
        <w:ind w:right="-766"/>
        <w:jc w:val="both"/>
        <w:rPr>
          <w:rFonts w:ascii="Times New Roman" w:hAnsi="Times New Roman"/>
          <w:sz w:val="28"/>
          <w:szCs w:val="28"/>
        </w:rPr>
      </w:pPr>
    </w:p>
    <w:p w14:paraId="1BEF6BE1" w14:textId="327EA32A" w:rsidR="00115ADD" w:rsidRDefault="00115ADD" w:rsidP="00115ADD">
      <w:pPr>
        <w:ind w:right="-766"/>
        <w:rPr>
          <w:rFonts w:ascii="Times New Roman" w:hAnsi="Times New Roman"/>
          <w:b/>
          <w:sz w:val="28"/>
          <w:szCs w:val="28"/>
        </w:rPr>
      </w:pPr>
    </w:p>
    <w:p w14:paraId="416580A6" w14:textId="692FBDBC" w:rsidR="00115ADD" w:rsidRPr="001B1B02" w:rsidRDefault="00603230" w:rsidP="00E23903">
      <w:pPr>
        <w:ind w:right="-766"/>
        <w:jc w:val="center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b/>
          <w:sz w:val="28"/>
          <w:szCs w:val="28"/>
        </w:rPr>
        <w:t xml:space="preserve">Grozījumi Ministru kabineta </w:t>
      </w:r>
      <w:r w:rsidR="00E54830" w:rsidRPr="00E54830">
        <w:rPr>
          <w:rFonts w:ascii="Times New Roman" w:hAnsi="Times New Roman"/>
          <w:b/>
          <w:sz w:val="28"/>
          <w:szCs w:val="28"/>
        </w:rPr>
        <w:t>2015. gada 19.maija noteikumos Nr. 243 “Darbības programmas “Izaugsme un nodarbinātība” 6.1.5. specifiskā atbalsta mērķa “Valsts galveno autoceļu segu pārbūve, nestspējas palielināšana” īstenošanas noteikumi”</w:t>
      </w:r>
    </w:p>
    <w:p w14:paraId="3B0485F7" w14:textId="77777777" w:rsidR="00BF1054" w:rsidRPr="001B1B02" w:rsidRDefault="00BF1054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</w:p>
    <w:p w14:paraId="6E052C0E" w14:textId="2612D1BA" w:rsidR="00115ADD" w:rsidRPr="001B1B02" w:rsidRDefault="00115ADD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Izdoti saskaņā ar Eiropas Savienības struktūrfondu un</w:t>
      </w:r>
    </w:p>
    <w:p w14:paraId="5778076D" w14:textId="77777777" w:rsidR="00115ADD" w:rsidRPr="001B1B02" w:rsidRDefault="00115ADD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Kohēzijas fonda 2014.–2020. gada plānošanas perioda</w:t>
      </w:r>
    </w:p>
    <w:p w14:paraId="32C1C1A2" w14:textId="77777777" w:rsidR="00115ADD" w:rsidRPr="001B1B02" w:rsidRDefault="00115ADD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vadības likuma 20. panta 13. punktu</w:t>
      </w:r>
    </w:p>
    <w:p w14:paraId="4B949FA8" w14:textId="77777777" w:rsidR="00BF1054" w:rsidRPr="001B1B02" w:rsidRDefault="00BF1054" w:rsidP="000F0774">
      <w:pPr>
        <w:pStyle w:val="naisc"/>
        <w:spacing w:before="0" w:beforeAutospacing="0" w:after="0" w:afterAutospacing="0"/>
        <w:ind w:right="-766"/>
        <w:jc w:val="both"/>
        <w:rPr>
          <w:bCs/>
          <w:sz w:val="28"/>
          <w:szCs w:val="28"/>
          <w:lang w:val="lv-LV"/>
        </w:rPr>
      </w:pPr>
    </w:p>
    <w:p w14:paraId="3E7B4691" w14:textId="0E5E1C9F" w:rsidR="00895F12" w:rsidRPr="001B1B02" w:rsidRDefault="00895F12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  <w:r w:rsidRPr="001B1B02">
        <w:rPr>
          <w:sz w:val="28"/>
          <w:szCs w:val="28"/>
          <w:lang w:val="lv-LV"/>
        </w:rPr>
        <w:t xml:space="preserve">Izdarīt Ministru kabineta </w:t>
      </w:r>
      <w:r w:rsidR="00E54830" w:rsidRPr="001B1B02">
        <w:rPr>
          <w:sz w:val="28"/>
          <w:szCs w:val="28"/>
          <w:lang w:val="lv-LV"/>
        </w:rPr>
        <w:t>201</w:t>
      </w:r>
      <w:r w:rsidR="00E54830">
        <w:rPr>
          <w:sz w:val="28"/>
          <w:szCs w:val="28"/>
          <w:lang w:val="lv-LV"/>
        </w:rPr>
        <w:t>5</w:t>
      </w:r>
      <w:r w:rsidRPr="001B1B02">
        <w:rPr>
          <w:sz w:val="28"/>
          <w:szCs w:val="28"/>
          <w:lang w:val="lv-LV"/>
        </w:rPr>
        <w:t xml:space="preserve">. gada </w:t>
      </w:r>
      <w:r w:rsidR="00E54830">
        <w:rPr>
          <w:sz w:val="28"/>
          <w:szCs w:val="28"/>
          <w:lang w:val="lv-LV"/>
        </w:rPr>
        <w:t>19</w:t>
      </w:r>
      <w:r w:rsidRPr="001B1B02">
        <w:rPr>
          <w:sz w:val="28"/>
          <w:szCs w:val="28"/>
          <w:lang w:val="lv-LV"/>
        </w:rPr>
        <w:t xml:space="preserve">. </w:t>
      </w:r>
      <w:r w:rsidR="00E54830">
        <w:rPr>
          <w:sz w:val="28"/>
          <w:szCs w:val="28"/>
          <w:lang w:val="lv-LV"/>
        </w:rPr>
        <w:t>maija</w:t>
      </w:r>
      <w:r w:rsidR="00E54830" w:rsidRPr="001B1B02">
        <w:rPr>
          <w:sz w:val="28"/>
          <w:szCs w:val="28"/>
          <w:lang w:val="lv-LV"/>
        </w:rPr>
        <w:t xml:space="preserve"> </w:t>
      </w:r>
      <w:r w:rsidRPr="001B1B02">
        <w:rPr>
          <w:sz w:val="28"/>
          <w:szCs w:val="28"/>
          <w:lang w:val="lv-LV"/>
        </w:rPr>
        <w:t xml:space="preserve">noteikumos Nr. </w:t>
      </w:r>
      <w:r w:rsidR="00E54830">
        <w:rPr>
          <w:sz w:val="28"/>
          <w:szCs w:val="28"/>
          <w:lang w:val="lv-LV"/>
        </w:rPr>
        <w:t>243</w:t>
      </w:r>
      <w:r w:rsidR="00E54830" w:rsidRPr="001B1B02">
        <w:rPr>
          <w:sz w:val="28"/>
          <w:szCs w:val="28"/>
          <w:lang w:val="lv-LV"/>
        </w:rPr>
        <w:t xml:space="preserve"> </w:t>
      </w:r>
      <w:r w:rsidRPr="001B1B02">
        <w:rPr>
          <w:sz w:val="28"/>
          <w:szCs w:val="28"/>
          <w:lang w:val="lv-LV"/>
        </w:rPr>
        <w:t xml:space="preserve">“Darbības programmas “Izaugsme un nodarbinātība” </w:t>
      </w:r>
      <w:r w:rsidR="00E54830">
        <w:rPr>
          <w:sz w:val="28"/>
          <w:szCs w:val="28"/>
          <w:lang w:val="lv-LV"/>
        </w:rPr>
        <w:t>6</w:t>
      </w:r>
      <w:r w:rsidR="00E54830" w:rsidRPr="00E54830">
        <w:rPr>
          <w:sz w:val="28"/>
          <w:szCs w:val="28"/>
          <w:lang w:val="lv-LV"/>
        </w:rPr>
        <w:t>.1.5. specifiskā atbalsta mērķa “Valsts galveno autoceļu segu pārbūve, nestspējas palielināšana”</w:t>
      </w:r>
      <w:r w:rsidR="00E54830">
        <w:rPr>
          <w:sz w:val="28"/>
          <w:szCs w:val="28"/>
          <w:lang w:val="lv-LV"/>
        </w:rPr>
        <w:t xml:space="preserve"> </w:t>
      </w:r>
      <w:r w:rsidRPr="001B1B02">
        <w:rPr>
          <w:sz w:val="28"/>
          <w:szCs w:val="28"/>
          <w:lang w:val="lv-LV"/>
        </w:rPr>
        <w:t xml:space="preserve">īstenošanas noteikumi” (Latvijas Vēstnesis, </w:t>
      </w:r>
      <w:r w:rsidR="00E54830" w:rsidRPr="001B1B02">
        <w:rPr>
          <w:sz w:val="28"/>
          <w:szCs w:val="28"/>
          <w:lang w:val="lv-LV"/>
        </w:rPr>
        <w:t>201</w:t>
      </w:r>
      <w:r w:rsidR="00E54830">
        <w:rPr>
          <w:sz w:val="28"/>
          <w:szCs w:val="28"/>
          <w:lang w:val="lv-LV"/>
        </w:rPr>
        <w:t>5</w:t>
      </w:r>
      <w:r w:rsidRPr="001B1B02">
        <w:rPr>
          <w:sz w:val="28"/>
          <w:szCs w:val="28"/>
          <w:lang w:val="lv-LV"/>
        </w:rPr>
        <w:t xml:space="preserve">, </w:t>
      </w:r>
      <w:r w:rsidR="00E54830">
        <w:rPr>
          <w:sz w:val="28"/>
          <w:szCs w:val="28"/>
          <w:lang w:val="lv-LV"/>
        </w:rPr>
        <w:t>103</w:t>
      </w:r>
      <w:r w:rsidRPr="001B1B02">
        <w:rPr>
          <w:sz w:val="28"/>
          <w:szCs w:val="28"/>
          <w:lang w:val="lv-LV"/>
        </w:rPr>
        <w:t xml:space="preserve">.nr.; </w:t>
      </w:r>
      <w:r w:rsidR="00E54830" w:rsidRPr="001B1B02">
        <w:rPr>
          <w:sz w:val="28"/>
          <w:szCs w:val="28"/>
          <w:lang w:val="lv-LV"/>
        </w:rPr>
        <w:t>201</w:t>
      </w:r>
      <w:r w:rsidR="00E54830">
        <w:rPr>
          <w:sz w:val="28"/>
          <w:szCs w:val="28"/>
          <w:lang w:val="lv-LV"/>
        </w:rPr>
        <w:t>8</w:t>
      </w:r>
      <w:r w:rsidRPr="001B1B02">
        <w:rPr>
          <w:sz w:val="28"/>
          <w:szCs w:val="28"/>
          <w:lang w:val="lv-LV"/>
        </w:rPr>
        <w:t xml:space="preserve">, </w:t>
      </w:r>
      <w:r w:rsidR="00E54830">
        <w:rPr>
          <w:sz w:val="28"/>
          <w:szCs w:val="28"/>
          <w:lang w:val="lv-LV"/>
        </w:rPr>
        <w:t>132</w:t>
      </w:r>
      <w:r w:rsidRPr="001B1B02">
        <w:rPr>
          <w:sz w:val="28"/>
          <w:szCs w:val="28"/>
          <w:lang w:val="lv-LV"/>
        </w:rPr>
        <w:t>.nr.</w:t>
      </w:r>
      <w:r w:rsidR="00210A90" w:rsidRPr="001B1B02">
        <w:rPr>
          <w:sz w:val="28"/>
          <w:szCs w:val="28"/>
          <w:lang w:val="lv-LV"/>
        </w:rPr>
        <w:t>; 2020.</w:t>
      </w:r>
      <w:r w:rsidR="008F15CA" w:rsidRPr="001B1B02">
        <w:rPr>
          <w:sz w:val="28"/>
          <w:szCs w:val="28"/>
          <w:lang w:val="lv-LV"/>
        </w:rPr>
        <w:t xml:space="preserve"> </w:t>
      </w:r>
      <w:r w:rsidR="00E54830">
        <w:rPr>
          <w:sz w:val="28"/>
          <w:szCs w:val="28"/>
          <w:lang w:val="lv-LV"/>
        </w:rPr>
        <w:t>87</w:t>
      </w:r>
      <w:r w:rsidR="008F15CA" w:rsidRPr="001B1B02">
        <w:rPr>
          <w:sz w:val="28"/>
          <w:szCs w:val="28"/>
          <w:lang w:val="lv-LV"/>
        </w:rPr>
        <w:t>.nr.</w:t>
      </w:r>
      <w:r w:rsidRPr="001B1B02">
        <w:rPr>
          <w:sz w:val="28"/>
          <w:szCs w:val="28"/>
          <w:lang w:val="lv-LV"/>
        </w:rPr>
        <w:t>) šādus grozījumus:</w:t>
      </w:r>
    </w:p>
    <w:p w14:paraId="2D69D0CE" w14:textId="4F7C430E" w:rsidR="000F0774" w:rsidRPr="001B1B02" w:rsidRDefault="000F0774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</w:p>
    <w:p w14:paraId="6D255037" w14:textId="0F9AE93F" w:rsidR="000F0774" w:rsidRPr="00282616" w:rsidRDefault="000F0774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1. </w:t>
      </w:r>
      <w:r w:rsidR="003D1F9D" w:rsidRPr="00282616">
        <w:rPr>
          <w:sz w:val="28"/>
          <w:szCs w:val="28"/>
          <w:lang w:val="lv-LV"/>
        </w:rPr>
        <w:t xml:space="preserve">Aizstāt </w:t>
      </w:r>
      <w:r w:rsidR="00E54830">
        <w:rPr>
          <w:sz w:val="28"/>
          <w:szCs w:val="28"/>
          <w:lang w:val="lv-LV"/>
        </w:rPr>
        <w:t>4</w:t>
      </w:r>
      <w:r w:rsidR="003D1F9D" w:rsidRPr="00282616">
        <w:rPr>
          <w:sz w:val="28"/>
          <w:szCs w:val="28"/>
          <w:lang w:val="lv-LV"/>
        </w:rPr>
        <w:t>.1.</w:t>
      </w:r>
      <w:r w:rsidR="00915629" w:rsidRPr="00282616">
        <w:rPr>
          <w:sz w:val="28"/>
          <w:szCs w:val="28"/>
          <w:lang w:val="lv-LV"/>
        </w:rPr>
        <w:t xml:space="preserve"> </w:t>
      </w:r>
      <w:r w:rsidR="003D1F9D" w:rsidRPr="00282616">
        <w:rPr>
          <w:sz w:val="28"/>
          <w:szCs w:val="28"/>
          <w:lang w:val="lv-LV"/>
        </w:rPr>
        <w:t>apakšpunktā skaitli “</w:t>
      </w:r>
      <w:r w:rsidR="00E54830">
        <w:rPr>
          <w:sz w:val="28"/>
          <w:szCs w:val="28"/>
          <w:lang w:val="lv-LV"/>
        </w:rPr>
        <w:t>296</w:t>
      </w:r>
      <w:r w:rsidR="003D1F9D" w:rsidRPr="00282616">
        <w:rPr>
          <w:sz w:val="28"/>
          <w:szCs w:val="28"/>
          <w:lang w:val="lv-LV"/>
        </w:rPr>
        <w:t>” ar skaitli “</w:t>
      </w:r>
      <w:r w:rsidR="00E54830">
        <w:rPr>
          <w:sz w:val="28"/>
          <w:szCs w:val="28"/>
          <w:lang w:val="lv-LV"/>
        </w:rPr>
        <w:t>327</w:t>
      </w:r>
      <w:r w:rsidR="003D1F9D" w:rsidRPr="00282616">
        <w:rPr>
          <w:sz w:val="28"/>
          <w:szCs w:val="28"/>
          <w:lang w:val="lv-LV"/>
        </w:rPr>
        <w:t>”</w:t>
      </w:r>
      <w:r w:rsidR="0005607E" w:rsidRPr="00282616">
        <w:rPr>
          <w:sz w:val="28"/>
          <w:szCs w:val="28"/>
          <w:lang w:val="lv-LV"/>
        </w:rPr>
        <w:t>.</w:t>
      </w:r>
    </w:p>
    <w:p w14:paraId="5C58C798" w14:textId="54EE06A8" w:rsidR="0005607E" w:rsidRPr="00E54830" w:rsidRDefault="0005607E" w:rsidP="000F0774">
      <w:pPr>
        <w:pStyle w:val="naisf"/>
        <w:spacing w:before="0" w:beforeAutospacing="0" w:after="0" w:afterAutospacing="0"/>
        <w:ind w:right="-766" w:firstLine="720"/>
        <w:rPr>
          <w:sz w:val="16"/>
          <w:szCs w:val="16"/>
          <w:lang w:val="lv-LV"/>
        </w:rPr>
      </w:pPr>
    </w:p>
    <w:p w14:paraId="4A823F36" w14:textId="7264440F" w:rsidR="0005607E" w:rsidRPr="00282616" w:rsidRDefault="0005607E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2. Izteikt 7. punktu šādā redakcijā:</w:t>
      </w:r>
    </w:p>
    <w:p w14:paraId="34BE39EC" w14:textId="0819B5E9" w:rsidR="0005607E" w:rsidRPr="00282616" w:rsidRDefault="0005607E" w:rsidP="00E5483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“</w:t>
      </w:r>
      <w:r w:rsidR="00525FFC" w:rsidRPr="00282616">
        <w:rPr>
          <w:sz w:val="28"/>
          <w:szCs w:val="28"/>
          <w:lang w:val="lv-LV"/>
        </w:rPr>
        <w:t xml:space="preserve">7. </w:t>
      </w:r>
      <w:r w:rsidR="00E54830" w:rsidRPr="00E54830">
        <w:rPr>
          <w:sz w:val="28"/>
          <w:szCs w:val="28"/>
          <w:lang w:val="lv-LV"/>
        </w:rPr>
        <w:t xml:space="preserve">Specifiskā atbalsta mērķim plānotais kopējais attiecināmais finansējums nav mazāks par 303 284 102 </w:t>
      </w:r>
      <w:proofErr w:type="spellStart"/>
      <w:r w:rsidR="00E54830" w:rsidRPr="00E54830">
        <w:rPr>
          <w:i/>
          <w:iCs/>
          <w:sz w:val="28"/>
          <w:szCs w:val="28"/>
          <w:lang w:val="lv-LV"/>
        </w:rPr>
        <w:t>euro</w:t>
      </w:r>
      <w:proofErr w:type="spellEnd"/>
      <w:r w:rsidR="00E54830" w:rsidRPr="00E54830">
        <w:rPr>
          <w:sz w:val="28"/>
          <w:szCs w:val="28"/>
          <w:lang w:val="lv-LV"/>
        </w:rPr>
        <w:t>, tai skaitā Kohēzijas fonda finansējums nepārsniedz 257 791</w:t>
      </w:r>
      <w:r w:rsidR="009E18E5">
        <w:rPr>
          <w:sz w:val="28"/>
          <w:szCs w:val="28"/>
          <w:lang w:val="lv-LV"/>
        </w:rPr>
        <w:t> </w:t>
      </w:r>
      <w:r w:rsidR="00E54830" w:rsidRPr="00E54830">
        <w:rPr>
          <w:sz w:val="28"/>
          <w:szCs w:val="28"/>
          <w:lang w:val="lv-LV"/>
        </w:rPr>
        <w:t>486</w:t>
      </w:r>
      <w:r w:rsidR="009E18E5">
        <w:rPr>
          <w:sz w:val="28"/>
          <w:szCs w:val="28"/>
          <w:lang w:val="lv-LV"/>
        </w:rPr>
        <w:t xml:space="preserve"> </w:t>
      </w:r>
      <w:proofErr w:type="spellStart"/>
      <w:r w:rsidR="00E54830" w:rsidRPr="00E54830">
        <w:rPr>
          <w:i/>
          <w:iCs/>
          <w:sz w:val="28"/>
          <w:szCs w:val="28"/>
          <w:lang w:val="lv-LV"/>
        </w:rPr>
        <w:t>euro</w:t>
      </w:r>
      <w:proofErr w:type="spellEnd"/>
      <w:r w:rsidR="00E54830" w:rsidRPr="00E54830">
        <w:rPr>
          <w:sz w:val="28"/>
          <w:szCs w:val="28"/>
          <w:lang w:val="lv-LV"/>
        </w:rPr>
        <w:t xml:space="preserve"> un valsts budžeta finansējums nav mazāks par 45 492 616  </w:t>
      </w:r>
      <w:proofErr w:type="spellStart"/>
      <w:r w:rsidR="00E54830" w:rsidRPr="00E54830">
        <w:rPr>
          <w:i/>
          <w:iCs/>
          <w:sz w:val="28"/>
          <w:szCs w:val="28"/>
          <w:lang w:val="lv-LV"/>
        </w:rPr>
        <w:t>euro</w:t>
      </w:r>
      <w:proofErr w:type="spellEnd"/>
      <w:r w:rsidRPr="00282616">
        <w:rPr>
          <w:sz w:val="28"/>
          <w:szCs w:val="28"/>
          <w:lang w:val="lv-LV"/>
        </w:rPr>
        <w:t>”</w:t>
      </w:r>
      <w:r w:rsidR="00525FFC" w:rsidRPr="00282616">
        <w:rPr>
          <w:sz w:val="28"/>
          <w:szCs w:val="28"/>
          <w:lang w:val="lv-LV"/>
        </w:rPr>
        <w:t>.</w:t>
      </w:r>
    </w:p>
    <w:p w14:paraId="701FA780" w14:textId="0969DF2D" w:rsidR="002B3E0F" w:rsidRPr="00E54830" w:rsidRDefault="002B3E0F" w:rsidP="00525FFC">
      <w:pPr>
        <w:pStyle w:val="naisf"/>
        <w:spacing w:before="0" w:beforeAutospacing="0" w:after="0" w:afterAutospacing="0"/>
        <w:ind w:right="-765" w:firstLine="720"/>
        <w:rPr>
          <w:sz w:val="16"/>
          <w:szCs w:val="16"/>
          <w:lang w:val="lv-LV"/>
        </w:rPr>
      </w:pPr>
    </w:p>
    <w:p w14:paraId="79F64DDB" w14:textId="3D5400C8" w:rsidR="003F559D" w:rsidRDefault="002B3E0F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3. </w:t>
      </w:r>
      <w:r w:rsidR="00E54830">
        <w:rPr>
          <w:sz w:val="28"/>
          <w:szCs w:val="28"/>
          <w:lang w:val="lv-LV"/>
        </w:rPr>
        <w:t>Svītrot 9.punktu.</w:t>
      </w:r>
    </w:p>
    <w:p w14:paraId="51BA49CD" w14:textId="77777777" w:rsidR="00E54830" w:rsidRDefault="003F559D" w:rsidP="00E54830">
      <w:pPr>
        <w:pStyle w:val="naisf"/>
        <w:spacing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4. </w:t>
      </w:r>
      <w:r w:rsidR="00E54830" w:rsidRPr="00E54830">
        <w:rPr>
          <w:sz w:val="28"/>
          <w:szCs w:val="28"/>
          <w:lang w:val="lv-LV"/>
        </w:rPr>
        <w:t xml:space="preserve">Papildināt </w:t>
      </w:r>
      <w:r w:rsidR="00E54830">
        <w:rPr>
          <w:sz w:val="28"/>
          <w:szCs w:val="28"/>
          <w:lang w:val="lv-LV"/>
        </w:rPr>
        <w:t>11</w:t>
      </w:r>
      <w:r w:rsidR="00E54830" w:rsidRPr="00E54830">
        <w:rPr>
          <w:sz w:val="28"/>
          <w:szCs w:val="28"/>
          <w:lang w:val="lv-LV"/>
        </w:rPr>
        <w:t>. punktu ar otro teikumu šādā redakcijā:</w:t>
      </w:r>
    </w:p>
    <w:p w14:paraId="5494A6A3" w14:textId="6A7626C5" w:rsidR="003F559D" w:rsidRPr="00282616" w:rsidRDefault="00E54830" w:rsidP="00E5483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E54830">
        <w:rPr>
          <w:sz w:val="28"/>
          <w:szCs w:val="28"/>
          <w:lang w:val="lv-LV"/>
        </w:rPr>
        <w:t>“Projekta iesniegumu sadarbības iestādē iesniedz elektroniski, izmantojot Kohēzijas politikas fondu vadības informācijas sistēmu 2014.–2020. gadam.”.</w:t>
      </w:r>
    </w:p>
    <w:p w14:paraId="291BB081" w14:textId="3CA6AA75" w:rsidR="00DB7D44" w:rsidRPr="00E54830" w:rsidRDefault="00DB7D44" w:rsidP="00E54830">
      <w:pPr>
        <w:pStyle w:val="naisf"/>
        <w:spacing w:before="0" w:beforeAutospacing="0" w:after="0" w:afterAutospacing="0"/>
        <w:ind w:right="-765"/>
        <w:rPr>
          <w:sz w:val="16"/>
          <w:szCs w:val="16"/>
          <w:lang w:val="lv-LV"/>
        </w:rPr>
      </w:pPr>
    </w:p>
    <w:p w14:paraId="3827C29C" w14:textId="77777777" w:rsidR="00A35A74" w:rsidRPr="00E54830" w:rsidRDefault="00A35A74" w:rsidP="00E54830">
      <w:pPr>
        <w:jc w:val="both"/>
        <w:rPr>
          <w:rFonts w:ascii="Times New Roman" w:hAnsi="Times New Roman"/>
          <w:sz w:val="16"/>
          <w:szCs w:val="16"/>
        </w:rPr>
      </w:pPr>
    </w:p>
    <w:p w14:paraId="2A8197BC" w14:textId="6B04F494" w:rsidR="00115ADD" w:rsidRPr="001B1B02" w:rsidRDefault="00115ADD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Ministru prezidents</w:t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>A. K. Kariņš</w:t>
      </w:r>
    </w:p>
    <w:p w14:paraId="48A6D4C6" w14:textId="77777777" w:rsidR="00115ADD" w:rsidRPr="00E54830" w:rsidRDefault="00115ADD" w:rsidP="00B62E94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1B1B02">
        <w:rPr>
          <w:rFonts w:ascii="Times New Roman" w:hAnsi="Times New Roman"/>
          <w:sz w:val="28"/>
          <w:szCs w:val="28"/>
        </w:rPr>
        <w:t xml:space="preserve"> </w:t>
      </w:r>
    </w:p>
    <w:p w14:paraId="433D82BA" w14:textId="3B74708B" w:rsidR="00115ADD" w:rsidRPr="001B1B02" w:rsidRDefault="00115ADD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Satiksmes ministrs</w:t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>T. </w:t>
      </w:r>
      <w:proofErr w:type="spellStart"/>
      <w:r w:rsidRPr="001B1B02">
        <w:rPr>
          <w:rFonts w:ascii="Times New Roman" w:hAnsi="Times New Roman"/>
          <w:sz w:val="28"/>
          <w:szCs w:val="28"/>
        </w:rPr>
        <w:t>Linkaits</w:t>
      </w:r>
      <w:proofErr w:type="spellEnd"/>
    </w:p>
    <w:p w14:paraId="519E0D97" w14:textId="7D0E5544" w:rsidR="00A94CC3" w:rsidRPr="00E54830" w:rsidRDefault="00A94CC3" w:rsidP="00B62E94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4E76646" w14:textId="77777777" w:rsidR="00A35A74" w:rsidRPr="00E54830" w:rsidRDefault="00A35A74" w:rsidP="00B62E94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34FC47D4" w14:textId="5D140A99" w:rsidR="00115ADD" w:rsidRPr="001B1B02" w:rsidRDefault="00115ADD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Iesniedzējs:</w:t>
      </w:r>
    </w:p>
    <w:p w14:paraId="4D5C6163" w14:textId="52A5DA7A" w:rsidR="00115ADD" w:rsidRPr="001B1B02" w:rsidRDefault="009E40FC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S</w:t>
      </w:r>
      <w:r w:rsidR="00115ADD" w:rsidRPr="001B1B02">
        <w:rPr>
          <w:rFonts w:ascii="Times New Roman" w:hAnsi="Times New Roman"/>
          <w:sz w:val="28"/>
          <w:szCs w:val="28"/>
        </w:rPr>
        <w:t xml:space="preserve">atiksmes ministrs </w:t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586275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>T. </w:t>
      </w:r>
      <w:proofErr w:type="spellStart"/>
      <w:r w:rsidR="00115ADD" w:rsidRPr="001B1B02">
        <w:rPr>
          <w:rFonts w:ascii="Times New Roman" w:hAnsi="Times New Roman"/>
          <w:sz w:val="28"/>
          <w:szCs w:val="28"/>
        </w:rPr>
        <w:t>Linkaits</w:t>
      </w:r>
      <w:proofErr w:type="spellEnd"/>
    </w:p>
    <w:p w14:paraId="6272013A" w14:textId="77777777" w:rsidR="009E40FC" w:rsidRPr="001B1B02" w:rsidRDefault="009E40FC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82DAD2" w14:textId="77777777" w:rsidR="00BF1054" w:rsidRPr="001B1B02" w:rsidRDefault="00BF1054" w:rsidP="00BF1054">
      <w:pPr>
        <w:ind w:firstLine="720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 xml:space="preserve">Vīza: </w:t>
      </w:r>
    </w:p>
    <w:p w14:paraId="0B11919E" w14:textId="35155A07" w:rsidR="00BF1054" w:rsidRDefault="00BF1054" w:rsidP="00BF1054">
      <w:pPr>
        <w:ind w:firstLine="720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valsts sekretāre</w:t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  <w:t>I. Stepanova</w:t>
      </w:r>
    </w:p>
    <w:p w14:paraId="0F2B9FCE" w14:textId="179E4C79" w:rsidR="00520D0F" w:rsidRPr="00520D0F" w:rsidRDefault="00520D0F" w:rsidP="008C71C2">
      <w:pPr>
        <w:rPr>
          <w:rFonts w:ascii="Times New Roman" w:hAnsi="Times New Roman"/>
          <w:sz w:val="28"/>
          <w:szCs w:val="28"/>
        </w:rPr>
      </w:pPr>
    </w:p>
    <w:p w14:paraId="2EE87EFF" w14:textId="285CC997" w:rsidR="00520D0F" w:rsidRPr="00520D0F" w:rsidRDefault="00520D0F" w:rsidP="008C71C2">
      <w:pPr>
        <w:tabs>
          <w:tab w:val="left" w:pos="51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520D0F" w:rsidRPr="00520D0F" w:rsidSect="00693E40">
      <w:footerReference w:type="default" r:id="rId8"/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F4F2" w14:textId="77777777" w:rsidR="00E526FD" w:rsidRDefault="00E526FD" w:rsidP="00B8348B">
      <w:r>
        <w:separator/>
      </w:r>
    </w:p>
  </w:endnote>
  <w:endnote w:type="continuationSeparator" w:id="0">
    <w:p w14:paraId="4B1F4F18" w14:textId="77777777" w:rsidR="00E526FD" w:rsidRDefault="00E526FD" w:rsidP="00B8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00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960E" w14:textId="630127D4" w:rsidR="00B8348B" w:rsidRPr="000055D9" w:rsidRDefault="000055D9" w:rsidP="000055D9">
    <w:pPr>
      <w:pStyle w:val="Footer"/>
    </w:pPr>
    <w:r w:rsidRPr="000055D9">
      <w:rPr>
        <w:rFonts w:ascii="Times New Roman" w:hAnsi="Times New Roman"/>
        <w:sz w:val="22"/>
        <w:szCs w:val="22"/>
      </w:rPr>
      <w:t>SMNot_</w:t>
    </w:r>
    <w:r w:rsidR="00520D0F">
      <w:rPr>
        <w:rFonts w:ascii="Times New Roman" w:hAnsi="Times New Roman"/>
        <w:sz w:val="22"/>
        <w:szCs w:val="22"/>
      </w:rPr>
      <w:t>20</w:t>
    </w:r>
    <w:r w:rsidR="00520D0F" w:rsidRPr="000055D9">
      <w:rPr>
        <w:rFonts w:ascii="Times New Roman" w:hAnsi="Times New Roman"/>
        <w:sz w:val="22"/>
        <w:szCs w:val="22"/>
      </w:rPr>
      <w:t>042021</w:t>
    </w:r>
    <w:r w:rsidRPr="000055D9">
      <w:rPr>
        <w:rFonts w:ascii="Times New Roman" w:hAnsi="Times New Roman"/>
        <w:sz w:val="22"/>
        <w:szCs w:val="22"/>
      </w:rPr>
      <w:t>_</w:t>
    </w:r>
    <w:r w:rsidR="00520D0F" w:rsidRPr="000055D9">
      <w:rPr>
        <w:rFonts w:ascii="Times New Roman" w:hAnsi="Times New Roman"/>
        <w:sz w:val="22"/>
        <w:szCs w:val="22"/>
      </w:rPr>
      <w:t>MKNgroz</w:t>
    </w:r>
    <w:r w:rsidR="00520D0F">
      <w:rPr>
        <w:rFonts w:ascii="Times New Roman" w:hAnsi="Times New Roman"/>
        <w:sz w:val="22"/>
        <w:szCs w:val="22"/>
      </w:rPr>
      <w:t>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E462" w14:textId="77777777" w:rsidR="00E526FD" w:rsidRDefault="00E526FD" w:rsidP="00B8348B">
      <w:r>
        <w:separator/>
      </w:r>
    </w:p>
  </w:footnote>
  <w:footnote w:type="continuationSeparator" w:id="0">
    <w:p w14:paraId="7C46E0CC" w14:textId="77777777" w:rsidR="00E526FD" w:rsidRDefault="00E526FD" w:rsidP="00B8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751"/>
    <w:multiLevelType w:val="hybridMultilevel"/>
    <w:tmpl w:val="BBF4FCF4"/>
    <w:lvl w:ilvl="0" w:tplc="0426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87" w:hanging="360"/>
      </w:pPr>
    </w:lvl>
    <w:lvl w:ilvl="2" w:tplc="0426001B" w:tentative="1">
      <w:start w:val="1"/>
      <w:numFmt w:val="lowerRoman"/>
      <w:lvlText w:val="%3."/>
      <w:lvlJc w:val="right"/>
      <w:pPr>
        <w:ind w:left="2007" w:hanging="180"/>
      </w:pPr>
    </w:lvl>
    <w:lvl w:ilvl="3" w:tplc="0426000F" w:tentative="1">
      <w:start w:val="1"/>
      <w:numFmt w:val="decimal"/>
      <w:lvlText w:val="%4."/>
      <w:lvlJc w:val="left"/>
      <w:pPr>
        <w:ind w:left="2727" w:hanging="360"/>
      </w:pPr>
    </w:lvl>
    <w:lvl w:ilvl="4" w:tplc="04260019" w:tentative="1">
      <w:start w:val="1"/>
      <w:numFmt w:val="lowerLetter"/>
      <w:lvlText w:val="%5."/>
      <w:lvlJc w:val="left"/>
      <w:pPr>
        <w:ind w:left="3447" w:hanging="360"/>
      </w:pPr>
    </w:lvl>
    <w:lvl w:ilvl="5" w:tplc="0426001B" w:tentative="1">
      <w:start w:val="1"/>
      <w:numFmt w:val="lowerRoman"/>
      <w:lvlText w:val="%6."/>
      <w:lvlJc w:val="right"/>
      <w:pPr>
        <w:ind w:left="4167" w:hanging="180"/>
      </w:pPr>
    </w:lvl>
    <w:lvl w:ilvl="6" w:tplc="0426000F" w:tentative="1">
      <w:start w:val="1"/>
      <w:numFmt w:val="decimal"/>
      <w:lvlText w:val="%7."/>
      <w:lvlJc w:val="left"/>
      <w:pPr>
        <w:ind w:left="4887" w:hanging="360"/>
      </w:pPr>
    </w:lvl>
    <w:lvl w:ilvl="7" w:tplc="04260019" w:tentative="1">
      <w:start w:val="1"/>
      <w:numFmt w:val="lowerLetter"/>
      <w:lvlText w:val="%8."/>
      <w:lvlJc w:val="left"/>
      <w:pPr>
        <w:ind w:left="5607" w:hanging="360"/>
      </w:pPr>
    </w:lvl>
    <w:lvl w:ilvl="8" w:tplc="0426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79951936"/>
    <w:multiLevelType w:val="hybridMultilevel"/>
    <w:tmpl w:val="D09CAF9A"/>
    <w:lvl w:ilvl="0" w:tplc="CAB87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D"/>
    <w:rsid w:val="00003417"/>
    <w:rsid w:val="00003E8B"/>
    <w:rsid w:val="000055D9"/>
    <w:rsid w:val="0005607E"/>
    <w:rsid w:val="000C104A"/>
    <w:rsid w:val="000D4EA9"/>
    <w:rsid w:val="000F0774"/>
    <w:rsid w:val="00115ADD"/>
    <w:rsid w:val="00125DBB"/>
    <w:rsid w:val="00160C98"/>
    <w:rsid w:val="00170C19"/>
    <w:rsid w:val="00197B65"/>
    <w:rsid w:val="001B1B02"/>
    <w:rsid w:val="001C3CEB"/>
    <w:rsid w:val="001C431E"/>
    <w:rsid w:val="001E5436"/>
    <w:rsid w:val="001F315A"/>
    <w:rsid w:val="00210A90"/>
    <w:rsid w:val="00221FAE"/>
    <w:rsid w:val="00255832"/>
    <w:rsid w:val="00275D09"/>
    <w:rsid w:val="00275E45"/>
    <w:rsid w:val="00282616"/>
    <w:rsid w:val="0029457C"/>
    <w:rsid w:val="002B3E0F"/>
    <w:rsid w:val="002C2BBF"/>
    <w:rsid w:val="002F0BDD"/>
    <w:rsid w:val="00311F16"/>
    <w:rsid w:val="00314701"/>
    <w:rsid w:val="00314E0A"/>
    <w:rsid w:val="00354BE1"/>
    <w:rsid w:val="003938EC"/>
    <w:rsid w:val="003A3B87"/>
    <w:rsid w:val="003A567E"/>
    <w:rsid w:val="003A6D53"/>
    <w:rsid w:val="003B542C"/>
    <w:rsid w:val="003B6780"/>
    <w:rsid w:val="003C0A19"/>
    <w:rsid w:val="003D1F9D"/>
    <w:rsid w:val="003F559D"/>
    <w:rsid w:val="004615F2"/>
    <w:rsid w:val="004713DE"/>
    <w:rsid w:val="00475D59"/>
    <w:rsid w:val="00494B14"/>
    <w:rsid w:val="004D2DBD"/>
    <w:rsid w:val="004D34FF"/>
    <w:rsid w:val="004F252E"/>
    <w:rsid w:val="004F2F50"/>
    <w:rsid w:val="004F323D"/>
    <w:rsid w:val="005157AD"/>
    <w:rsid w:val="00520D0F"/>
    <w:rsid w:val="00525FFC"/>
    <w:rsid w:val="005374AE"/>
    <w:rsid w:val="00586275"/>
    <w:rsid w:val="005A1B22"/>
    <w:rsid w:val="005B1238"/>
    <w:rsid w:val="005C20BA"/>
    <w:rsid w:val="005E1FF5"/>
    <w:rsid w:val="005E51F0"/>
    <w:rsid w:val="00603230"/>
    <w:rsid w:val="006203B8"/>
    <w:rsid w:val="00622DD1"/>
    <w:rsid w:val="00646177"/>
    <w:rsid w:val="00650AC1"/>
    <w:rsid w:val="00693E40"/>
    <w:rsid w:val="00696356"/>
    <w:rsid w:val="00761A93"/>
    <w:rsid w:val="00776B74"/>
    <w:rsid w:val="00797097"/>
    <w:rsid w:val="007A66A3"/>
    <w:rsid w:val="007D78D6"/>
    <w:rsid w:val="00807F4B"/>
    <w:rsid w:val="0081192B"/>
    <w:rsid w:val="00816302"/>
    <w:rsid w:val="00827FC4"/>
    <w:rsid w:val="008459B9"/>
    <w:rsid w:val="00862D90"/>
    <w:rsid w:val="00895F12"/>
    <w:rsid w:val="008C71C2"/>
    <w:rsid w:val="008F15CA"/>
    <w:rsid w:val="00900738"/>
    <w:rsid w:val="00915629"/>
    <w:rsid w:val="009829A6"/>
    <w:rsid w:val="00990DD0"/>
    <w:rsid w:val="009B6401"/>
    <w:rsid w:val="009C1C8B"/>
    <w:rsid w:val="009C7C4D"/>
    <w:rsid w:val="009D0F65"/>
    <w:rsid w:val="009E15C1"/>
    <w:rsid w:val="009E18E5"/>
    <w:rsid w:val="009E40FC"/>
    <w:rsid w:val="00A276BF"/>
    <w:rsid w:val="00A35A74"/>
    <w:rsid w:val="00A563F9"/>
    <w:rsid w:val="00A82860"/>
    <w:rsid w:val="00A94CC3"/>
    <w:rsid w:val="00A95519"/>
    <w:rsid w:val="00A9746D"/>
    <w:rsid w:val="00AA4A0A"/>
    <w:rsid w:val="00AB0F0C"/>
    <w:rsid w:val="00AB5316"/>
    <w:rsid w:val="00AC6E68"/>
    <w:rsid w:val="00B0111F"/>
    <w:rsid w:val="00B30188"/>
    <w:rsid w:val="00B35D2B"/>
    <w:rsid w:val="00B445B3"/>
    <w:rsid w:val="00B62E94"/>
    <w:rsid w:val="00B74E49"/>
    <w:rsid w:val="00B76709"/>
    <w:rsid w:val="00B8348B"/>
    <w:rsid w:val="00BB3036"/>
    <w:rsid w:val="00BF0CB3"/>
    <w:rsid w:val="00BF1054"/>
    <w:rsid w:val="00C01F88"/>
    <w:rsid w:val="00C3051B"/>
    <w:rsid w:val="00C4344F"/>
    <w:rsid w:val="00C96A50"/>
    <w:rsid w:val="00CC6175"/>
    <w:rsid w:val="00D52326"/>
    <w:rsid w:val="00D61F96"/>
    <w:rsid w:val="00DA45AF"/>
    <w:rsid w:val="00DB0619"/>
    <w:rsid w:val="00DB7D44"/>
    <w:rsid w:val="00DF043A"/>
    <w:rsid w:val="00E07CE8"/>
    <w:rsid w:val="00E23903"/>
    <w:rsid w:val="00E526FD"/>
    <w:rsid w:val="00E54830"/>
    <w:rsid w:val="00E75842"/>
    <w:rsid w:val="00EA244D"/>
    <w:rsid w:val="00EB6668"/>
    <w:rsid w:val="00EE39BE"/>
    <w:rsid w:val="00F23EF5"/>
    <w:rsid w:val="00F308C6"/>
    <w:rsid w:val="00F6562F"/>
    <w:rsid w:val="00F8410A"/>
    <w:rsid w:val="00FB2F5C"/>
    <w:rsid w:val="00FF61B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7D2D"/>
  <w15:chartTrackingRefBased/>
  <w15:docId w15:val="{414D5DAC-C6D7-4A73-8BBF-5C5BF0D8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DD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15ADD"/>
    <w:pPr>
      <w:jc w:val="both"/>
    </w:pPr>
    <w:rPr>
      <w:rFonts w:ascii="Times New Roman" w:hAnsi="Times New Roman"/>
      <w:b/>
      <w:bCs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15AD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naisf">
    <w:name w:val="naisf"/>
    <w:basedOn w:val="Normal"/>
    <w:rsid w:val="00115ADD"/>
    <w:pPr>
      <w:spacing w:before="100" w:beforeAutospacing="1" w:after="100" w:afterAutospacing="1"/>
      <w:jc w:val="both"/>
    </w:pPr>
    <w:rPr>
      <w:rFonts w:ascii="Times New Roman" w:hAnsi="Times New Roman"/>
      <w:szCs w:val="24"/>
      <w:lang w:val="en-GB" w:eastAsia="en-US"/>
    </w:rPr>
  </w:style>
  <w:style w:type="paragraph" w:customStyle="1" w:styleId="naisc">
    <w:name w:val="naisc"/>
    <w:basedOn w:val="Normal"/>
    <w:uiPriority w:val="99"/>
    <w:rsid w:val="00115ADD"/>
    <w:pPr>
      <w:spacing w:before="100" w:beforeAutospacing="1" w:after="100" w:afterAutospacing="1"/>
      <w:jc w:val="center"/>
    </w:pPr>
    <w:rPr>
      <w:rFonts w:ascii="Times New Roman" w:hAnsi="Times New Roman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4F32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D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DBB"/>
    <w:rPr>
      <w:rFonts w:ascii="Dutch TL" w:eastAsia="Times New Roman" w:hAnsi="Dutch TL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DBB"/>
    <w:rPr>
      <w:rFonts w:ascii="Dutch TL" w:eastAsia="Times New Roman" w:hAnsi="Dutch TL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BB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834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48B"/>
    <w:rPr>
      <w:rFonts w:ascii="Dutch TL" w:eastAsia="Times New Roman" w:hAnsi="Dutch TL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834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48B"/>
    <w:rPr>
      <w:rFonts w:ascii="Dutch TL" w:eastAsia="Times New Roman" w:hAnsi="Dutch TL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B727-E0BF-47FD-B10D-6313BECA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2016. gada 30. augusta noteikumos Nr. 587 “Darbības programmas “Izaugsme un nodarbinātība” 6.1.4. specifiskā atbalsta mērķa “Pilsētu infrastruktūras sasaiste ar TEN-T tīklu” 6.1.4.2. pasākuma “Nacionālas nozīmes attīstības cent</vt:lpstr>
    </vt:vector>
  </TitlesOfParts>
  <Company>Satiksmes ministrija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2015. gada 19.maija noteikumos Nr. 243 “Darbības programmas “Izaugsme un nodarbinātība” 6.1.5. specifiskā atbalsta mērķa “Valsts galveno autoceļu segu pārbūve, nestspējas palielināšana” īstenošanas noteikumi”</dc:title>
  <dc:subject>Noteikumu projekts</dc:subject>
  <dc:creator>Andzela.Korotkorucko@sam.gov.lv</dc:creator>
  <cp:keywords>MK noteikumu projekts</cp:keywords>
  <dc:description>67028243
andzela.korotkorucko@sam.gov.lv</dc:description>
  <cp:lastModifiedBy>Andžela Korotkoručko</cp:lastModifiedBy>
  <cp:revision>7</cp:revision>
  <cp:lastPrinted>2019-12-16T11:31:00Z</cp:lastPrinted>
  <dcterms:created xsi:type="dcterms:W3CDTF">2021-04-20T10:53:00Z</dcterms:created>
  <dcterms:modified xsi:type="dcterms:W3CDTF">2021-04-20T11:08:00Z</dcterms:modified>
</cp:coreProperties>
</file>