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BF7D" w14:textId="77777777" w:rsidR="00115ADD" w:rsidRPr="001B1B02" w:rsidRDefault="00115ADD" w:rsidP="00115ADD">
      <w:pPr>
        <w:spacing w:after="120"/>
        <w:ind w:firstLine="426"/>
        <w:jc w:val="right"/>
        <w:rPr>
          <w:rFonts w:ascii="Times New Roman" w:eastAsia="Calibri" w:hAnsi="Times New Roman"/>
          <w:i/>
          <w:iCs/>
          <w:sz w:val="28"/>
          <w:szCs w:val="28"/>
        </w:rPr>
      </w:pPr>
      <w:r w:rsidRPr="001B1B02">
        <w:rPr>
          <w:rFonts w:ascii="Times New Roman" w:eastAsia="Calibri" w:hAnsi="Times New Roman"/>
          <w:i/>
          <w:iCs/>
          <w:sz w:val="28"/>
          <w:szCs w:val="28"/>
        </w:rPr>
        <w:t>Projekts</w:t>
      </w:r>
    </w:p>
    <w:p w14:paraId="1F62F3D5" w14:textId="77777777" w:rsidR="00115ADD" w:rsidRPr="001B1B02" w:rsidRDefault="00115ADD" w:rsidP="00115ADD">
      <w:pPr>
        <w:spacing w:after="120"/>
        <w:ind w:firstLine="426"/>
        <w:jc w:val="center"/>
        <w:rPr>
          <w:rFonts w:ascii="Times New Roman" w:eastAsia="Calibri" w:hAnsi="Times New Roman"/>
          <w:sz w:val="28"/>
          <w:szCs w:val="28"/>
        </w:rPr>
      </w:pPr>
      <w:r w:rsidRPr="001B1B02">
        <w:rPr>
          <w:rFonts w:ascii="Times New Roman" w:eastAsia="Calibri" w:hAnsi="Times New Roman"/>
          <w:sz w:val="28"/>
          <w:szCs w:val="28"/>
        </w:rPr>
        <w:t>LATVIJAS REPUBLIKAS MINISTRU KABINETS</w:t>
      </w:r>
    </w:p>
    <w:p w14:paraId="5A2AAEBE" w14:textId="77777777" w:rsidR="00693E40" w:rsidRPr="001B1B02" w:rsidRDefault="00693E40" w:rsidP="00115ADD">
      <w:pPr>
        <w:pStyle w:val="BodyText"/>
        <w:tabs>
          <w:tab w:val="left" w:pos="6480"/>
        </w:tabs>
        <w:ind w:right="-766"/>
        <w:jc w:val="left"/>
        <w:rPr>
          <w:b w:val="0"/>
          <w:bCs w:val="0"/>
          <w:sz w:val="28"/>
          <w:szCs w:val="28"/>
          <w:lang w:val="lv-LV" w:eastAsia="lv-LV"/>
        </w:rPr>
      </w:pPr>
    </w:p>
    <w:p w14:paraId="32F1182E" w14:textId="2DC11D08" w:rsidR="00115ADD" w:rsidRPr="001B1B02" w:rsidRDefault="00115ADD" w:rsidP="00115ADD">
      <w:pPr>
        <w:pStyle w:val="BodyText"/>
        <w:tabs>
          <w:tab w:val="left" w:pos="6480"/>
        </w:tabs>
        <w:ind w:right="-766"/>
        <w:jc w:val="left"/>
        <w:rPr>
          <w:b w:val="0"/>
          <w:bCs w:val="0"/>
          <w:sz w:val="28"/>
          <w:szCs w:val="28"/>
          <w:lang w:val="lv-LV" w:eastAsia="lv-LV"/>
        </w:rPr>
      </w:pPr>
      <w:r w:rsidRPr="001B1B02">
        <w:rPr>
          <w:b w:val="0"/>
          <w:bCs w:val="0"/>
          <w:sz w:val="28"/>
          <w:szCs w:val="28"/>
          <w:lang w:val="lv-LV" w:eastAsia="lv-LV"/>
        </w:rPr>
        <w:t>20</w:t>
      </w:r>
      <w:r w:rsidR="00E75842" w:rsidRPr="001B1B02">
        <w:rPr>
          <w:b w:val="0"/>
          <w:bCs w:val="0"/>
          <w:sz w:val="28"/>
          <w:szCs w:val="28"/>
          <w:lang w:val="lv-LV" w:eastAsia="lv-LV"/>
        </w:rPr>
        <w:t>2</w:t>
      </w:r>
      <w:r w:rsidR="004D34FF" w:rsidRPr="001B1B02">
        <w:rPr>
          <w:b w:val="0"/>
          <w:bCs w:val="0"/>
          <w:sz w:val="28"/>
          <w:szCs w:val="28"/>
          <w:lang w:val="lv-LV" w:eastAsia="lv-LV"/>
        </w:rPr>
        <w:t>1</w:t>
      </w:r>
      <w:r w:rsidRPr="001B1B02">
        <w:rPr>
          <w:b w:val="0"/>
          <w:bCs w:val="0"/>
          <w:sz w:val="28"/>
          <w:szCs w:val="28"/>
          <w:lang w:val="lv-LV" w:eastAsia="lv-LV"/>
        </w:rPr>
        <w:t xml:space="preserve">. gada </w:t>
      </w:r>
      <w:r w:rsidR="00761A93" w:rsidRPr="001B1B02">
        <w:rPr>
          <w:b w:val="0"/>
          <w:bCs w:val="0"/>
          <w:sz w:val="28"/>
          <w:szCs w:val="28"/>
          <w:lang w:val="lv-LV" w:eastAsia="lv-LV"/>
        </w:rPr>
        <w:t>__</w:t>
      </w:r>
      <w:r w:rsidRPr="001B1B02">
        <w:rPr>
          <w:b w:val="0"/>
          <w:bCs w:val="0"/>
          <w:sz w:val="28"/>
          <w:szCs w:val="28"/>
          <w:lang w:val="lv-LV" w:eastAsia="lv-LV"/>
        </w:rPr>
        <w:t>.</w:t>
      </w:r>
      <w:r w:rsidR="00761A93" w:rsidRPr="001B1B02">
        <w:rPr>
          <w:b w:val="0"/>
          <w:bCs w:val="0"/>
          <w:sz w:val="28"/>
          <w:szCs w:val="28"/>
          <w:lang w:val="lv-LV" w:eastAsia="lv-LV"/>
        </w:rPr>
        <w:t>____.</w:t>
      </w:r>
      <w:r w:rsidRPr="001B1B02">
        <w:rPr>
          <w:b w:val="0"/>
          <w:bCs w:val="0"/>
          <w:sz w:val="28"/>
          <w:szCs w:val="28"/>
          <w:lang w:val="lv-LV" w:eastAsia="lv-LV"/>
        </w:rPr>
        <w:tab/>
        <w:t>Noteikumi Nr.</w:t>
      </w:r>
      <w:r w:rsidR="00761A93" w:rsidRPr="001B1B02">
        <w:rPr>
          <w:b w:val="0"/>
          <w:bCs w:val="0"/>
          <w:sz w:val="28"/>
          <w:szCs w:val="28"/>
          <w:lang w:val="lv-LV" w:eastAsia="lv-LV"/>
        </w:rPr>
        <w:t>__</w:t>
      </w:r>
    </w:p>
    <w:p w14:paraId="66395CC6" w14:textId="0CAFFA2B" w:rsidR="00115ADD" w:rsidRPr="001B1B02" w:rsidRDefault="00115ADD" w:rsidP="00115ADD">
      <w:pPr>
        <w:tabs>
          <w:tab w:val="left" w:pos="6480"/>
        </w:tabs>
        <w:ind w:right="-766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Rīgā</w:t>
      </w:r>
      <w:r w:rsidRPr="001B1B02">
        <w:rPr>
          <w:rFonts w:ascii="Times New Roman" w:hAnsi="Times New Roman"/>
          <w:sz w:val="28"/>
          <w:szCs w:val="28"/>
        </w:rPr>
        <w:tab/>
        <w:t>(prot. Nr.</w:t>
      </w:r>
      <w:r w:rsidR="00761A93" w:rsidRPr="001B1B02">
        <w:rPr>
          <w:rFonts w:ascii="Times New Roman" w:hAnsi="Times New Roman"/>
          <w:sz w:val="28"/>
          <w:szCs w:val="28"/>
        </w:rPr>
        <w:t xml:space="preserve"> .</w:t>
      </w:r>
      <w:r w:rsidRPr="001B1B02">
        <w:rPr>
          <w:rFonts w:ascii="Times New Roman" w:hAnsi="Times New Roman"/>
          <w:sz w:val="28"/>
          <w:szCs w:val="28"/>
        </w:rPr>
        <w:t>.§)</w:t>
      </w:r>
    </w:p>
    <w:p w14:paraId="41A8FD62" w14:textId="77777777" w:rsidR="00115ADD" w:rsidRPr="001B1B02" w:rsidRDefault="00115ADD" w:rsidP="00115ADD">
      <w:pPr>
        <w:ind w:right="-766"/>
        <w:jc w:val="both"/>
        <w:rPr>
          <w:rFonts w:ascii="Times New Roman" w:hAnsi="Times New Roman"/>
          <w:sz w:val="28"/>
          <w:szCs w:val="28"/>
        </w:rPr>
      </w:pPr>
    </w:p>
    <w:p w14:paraId="1BEF6BE1" w14:textId="327EA32A" w:rsidR="00115ADD" w:rsidRDefault="00115ADD" w:rsidP="00115ADD">
      <w:pPr>
        <w:ind w:right="-766"/>
        <w:rPr>
          <w:rFonts w:ascii="Times New Roman" w:hAnsi="Times New Roman"/>
          <w:b/>
          <w:sz w:val="28"/>
          <w:szCs w:val="28"/>
        </w:rPr>
      </w:pPr>
    </w:p>
    <w:p w14:paraId="416580A6" w14:textId="22DC6480" w:rsidR="00115ADD" w:rsidRPr="001B1B02" w:rsidRDefault="00603230" w:rsidP="00E23903">
      <w:pPr>
        <w:ind w:right="-766"/>
        <w:jc w:val="center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b/>
          <w:sz w:val="28"/>
          <w:szCs w:val="28"/>
        </w:rPr>
        <w:t xml:space="preserve">Grozījumi Ministru kabineta 2016. gada 30. augusta noteikumos Nr. 587 </w:t>
      </w:r>
      <w:r w:rsidR="00E23903" w:rsidRPr="001B1B02">
        <w:rPr>
          <w:rFonts w:ascii="Times New Roman" w:hAnsi="Times New Roman"/>
          <w:b/>
          <w:sz w:val="28"/>
          <w:szCs w:val="28"/>
        </w:rPr>
        <w:t>“</w:t>
      </w:r>
      <w:r w:rsidRPr="001B1B02">
        <w:rPr>
          <w:rFonts w:ascii="Times New Roman" w:hAnsi="Times New Roman"/>
          <w:b/>
          <w:sz w:val="28"/>
          <w:szCs w:val="28"/>
        </w:rPr>
        <w:t xml:space="preserve">Darbības programmas </w:t>
      </w:r>
      <w:r w:rsidR="00E23903" w:rsidRPr="001B1B02">
        <w:rPr>
          <w:rFonts w:ascii="Times New Roman" w:hAnsi="Times New Roman"/>
          <w:b/>
          <w:sz w:val="28"/>
          <w:szCs w:val="28"/>
        </w:rPr>
        <w:t>“</w:t>
      </w:r>
      <w:r w:rsidRPr="001B1B02">
        <w:rPr>
          <w:rFonts w:ascii="Times New Roman" w:hAnsi="Times New Roman"/>
          <w:b/>
          <w:sz w:val="28"/>
          <w:szCs w:val="28"/>
        </w:rPr>
        <w:t>Izaugsme un nodarbinātība</w:t>
      </w:r>
      <w:r w:rsidR="00E23903" w:rsidRPr="001B1B02">
        <w:rPr>
          <w:rFonts w:ascii="Times New Roman" w:hAnsi="Times New Roman"/>
          <w:b/>
          <w:sz w:val="28"/>
          <w:szCs w:val="28"/>
        </w:rPr>
        <w:t>”</w:t>
      </w:r>
      <w:r w:rsidRPr="001B1B02">
        <w:rPr>
          <w:rFonts w:ascii="Times New Roman" w:hAnsi="Times New Roman"/>
          <w:b/>
          <w:sz w:val="28"/>
          <w:szCs w:val="28"/>
        </w:rPr>
        <w:t xml:space="preserve"> 6.1.4. specifiskā atbalsta mērķa </w:t>
      </w:r>
      <w:r w:rsidR="00E23903" w:rsidRPr="001B1B02">
        <w:rPr>
          <w:rFonts w:ascii="Times New Roman" w:hAnsi="Times New Roman"/>
          <w:b/>
          <w:sz w:val="28"/>
          <w:szCs w:val="28"/>
        </w:rPr>
        <w:t>“</w:t>
      </w:r>
      <w:r w:rsidRPr="001B1B02">
        <w:rPr>
          <w:rFonts w:ascii="Times New Roman" w:hAnsi="Times New Roman"/>
          <w:b/>
          <w:sz w:val="28"/>
          <w:szCs w:val="28"/>
        </w:rPr>
        <w:t>Pilsētu infrastruktūras sasaiste ar TEN-T tīklu</w:t>
      </w:r>
      <w:r w:rsidR="00E23903" w:rsidRPr="001B1B02">
        <w:rPr>
          <w:rFonts w:ascii="Times New Roman" w:hAnsi="Times New Roman"/>
          <w:b/>
          <w:sz w:val="28"/>
          <w:szCs w:val="28"/>
        </w:rPr>
        <w:t>”</w:t>
      </w:r>
      <w:r w:rsidRPr="001B1B02">
        <w:rPr>
          <w:rFonts w:ascii="Times New Roman" w:hAnsi="Times New Roman"/>
          <w:b/>
          <w:sz w:val="28"/>
          <w:szCs w:val="28"/>
        </w:rPr>
        <w:t xml:space="preserve"> 6.1.4.2. pasākuma </w:t>
      </w:r>
      <w:r w:rsidR="00E23903" w:rsidRPr="001B1B02">
        <w:rPr>
          <w:rFonts w:ascii="Times New Roman" w:hAnsi="Times New Roman"/>
          <w:b/>
          <w:sz w:val="28"/>
          <w:szCs w:val="28"/>
        </w:rPr>
        <w:t>“</w:t>
      </w:r>
      <w:r w:rsidRPr="001B1B02">
        <w:rPr>
          <w:rFonts w:ascii="Times New Roman" w:hAnsi="Times New Roman"/>
          <w:b/>
          <w:sz w:val="28"/>
          <w:szCs w:val="28"/>
        </w:rPr>
        <w:t>Nacionālas nozīmes attīstības centru integrēšana TEN-T tīklā</w:t>
      </w:r>
      <w:r w:rsidR="00E23903" w:rsidRPr="001B1B02">
        <w:rPr>
          <w:rFonts w:ascii="Times New Roman" w:hAnsi="Times New Roman"/>
          <w:b/>
          <w:sz w:val="28"/>
          <w:szCs w:val="28"/>
        </w:rPr>
        <w:t>”</w:t>
      </w:r>
      <w:r w:rsidRPr="001B1B02">
        <w:rPr>
          <w:rFonts w:ascii="Times New Roman" w:hAnsi="Times New Roman"/>
          <w:b/>
          <w:sz w:val="28"/>
          <w:szCs w:val="28"/>
        </w:rPr>
        <w:t xml:space="preserve"> īstenošanas noteikumi</w:t>
      </w:r>
      <w:r w:rsidR="00E23903" w:rsidRPr="001B1B02">
        <w:rPr>
          <w:rFonts w:ascii="Times New Roman" w:hAnsi="Times New Roman"/>
          <w:b/>
          <w:sz w:val="28"/>
          <w:szCs w:val="28"/>
        </w:rPr>
        <w:t>”</w:t>
      </w:r>
    </w:p>
    <w:p w14:paraId="3B0485F7" w14:textId="77777777" w:rsidR="00BF1054" w:rsidRPr="001B1B02" w:rsidRDefault="00BF1054" w:rsidP="00115ADD">
      <w:pPr>
        <w:ind w:right="-766"/>
        <w:jc w:val="right"/>
        <w:rPr>
          <w:rFonts w:ascii="Times New Roman" w:hAnsi="Times New Roman"/>
          <w:sz w:val="28"/>
          <w:szCs w:val="28"/>
        </w:rPr>
      </w:pPr>
    </w:p>
    <w:p w14:paraId="6E052C0E" w14:textId="2612D1BA" w:rsidR="00115ADD" w:rsidRPr="001B1B02" w:rsidRDefault="00115ADD" w:rsidP="00115ADD">
      <w:pPr>
        <w:ind w:right="-766"/>
        <w:jc w:val="right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Izdoti saskaņā ar Eiropas Savienības struktūrfondu un</w:t>
      </w:r>
    </w:p>
    <w:p w14:paraId="5778076D" w14:textId="77777777" w:rsidR="00115ADD" w:rsidRPr="001B1B02" w:rsidRDefault="00115ADD" w:rsidP="00115ADD">
      <w:pPr>
        <w:ind w:right="-766"/>
        <w:jc w:val="right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Kohēzijas fonda 2014.–2020. gada plānošanas perioda</w:t>
      </w:r>
    </w:p>
    <w:p w14:paraId="32C1C1A2" w14:textId="77777777" w:rsidR="00115ADD" w:rsidRPr="001B1B02" w:rsidRDefault="00115ADD" w:rsidP="00115ADD">
      <w:pPr>
        <w:ind w:right="-766"/>
        <w:jc w:val="right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vadības likuma 20. panta 13. punktu</w:t>
      </w:r>
    </w:p>
    <w:p w14:paraId="5A8C5450" w14:textId="379433D1" w:rsidR="00115ADD" w:rsidRPr="001B1B02" w:rsidRDefault="00115ADD" w:rsidP="00115ADD">
      <w:pPr>
        <w:pStyle w:val="naisc"/>
        <w:spacing w:before="0" w:beforeAutospacing="0" w:after="0" w:afterAutospacing="0"/>
        <w:ind w:right="-766"/>
        <w:jc w:val="left"/>
        <w:rPr>
          <w:bCs/>
          <w:sz w:val="28"/>
          <w:szCs w:val="28"/>
          <w:lang w:val="lv-LV"/>
        </w:rPr>
      </w:pPr>
    </w:p>
    <w:p w14:paraId="4B949FA8" w14:textId="77777777" w:rsidR="00BF1054" w:rsidRPr="001B1B02" w:rsidRDefault="00BF1054" w:rsidP="000F0774">
      <w:pPr>
        <w:pStyle w:val="naisc"/>
        <w:spacing w:before="0" w:beforeAutospacing="0" w:after="0" w:afterAutospacing="0"/>
        <w:ind w:right="-766"/>
        <w:jc w:val="both"/>
        <w:rPr>
          <w:bCs/>
          <w:sz w:val="28"/>
          <w:szCs w:val="28"/>
          <w:lang w:val="lv-LV"/>
        </w:rPr>
      </w:pPr>
    </w:p>
    <w:p w14:paraId="3E7B4691" w14:textId="57990194" w:rsidR="00895F12" w:rsidRPr="001B1B02" w:rsidRDefault="00895F12" w:rsidP="000F0774">
      <w:pPr>
        <w:pStyle w:val="naisf"/>
        <w:spacing w:before="0" w:beforeAutospacing="0" w:after="0" w:afterAutospacing="0"/>
        <w:ind w:right="-766" w:firstLine="720"/>
        <w:rPr>
          <w:sz w:val="28"/>
          <w:szCs w:val="28"/>
          <w:lang w:val="lv-LV"/>
        </w:rPr>
      </w:pPr>
      <w:r w:rsidRPr="001B1B02">
        <w:rPr>
          <w:sz w:val="28"/>
          <w:szCs w:val="28"/>
          <w:lang w:val="lv-LV"/>
        </w:rPr>
        <w:t>Izdarīt Ministru kabineta 2016. gada 30. augusta noteikumos Nr. 587 “Darbības programmas “Izaugsme un nodarbinātība” 6.1.4. specifiskā atbalsta mērķa “Pilsētu infrastruktūras sasaiste ar TEN-T tīklu” 6.1.4.2. pasākuma “Nacionālas nozīmes attīstības centru integrēšana TEN-T tīklā” īstenošanas noteikumi” (Latvijas Vēstnesis, 2016, 182.nr.; 2017, 114., 211.nr.</w:t>
      </w:r>
      <w:r w:rsidR="00210A90" w:rsidRPr="001B1B02">
        <w:rPr>
          <w:sz w:val="28"/>
          <w:szCs w:val="28"/>
          <w:lang w:val="lv-LV"/>
        </w:rPr>
        <w:t>; 2020.</w:t>
      </w:r>
      <w:r w:rsidR="008F15CA" w:rsidRPr="001B1B02">
        <w:rPr>
          <w:sz w:val="28"/>
          <w:szCs w:val="28"/>
          <w:lang w:val="lv-LV"/>
        </w:rPr>
        <w:t xml:space="preserve"> 71.nr.</w:t>
      </w:r>
      <w:r w:rsidRPr="001B1B02">
        <w:rPr>
          <w:sz w:val="28"/>
          <w:szCs w:val="28"/>
          <w:lang w:val="lv-LV"/>
        </w:rPr>
        <w:t>) šādus grozījumus:</w:t>
      </w:r>
    </w:p>
    <w:p w14:paraId="2D69D0CE" w14:textId="4F7C430E" w:rsidR="000F0774" w:rsidRPr="001B1B02" w:rsidRDefault="000F0774" w:rsidP="000F0774">
      <w:pPr>
        <w:pStyle w:val="naisf"/>
        <w:spacing w:before="0" w:beforeAutospacing="0" w:after="0" w:afterAutospacing="0"/>
        <w:ind w:right="-766" w:firstLine="720"/>
        <w:rPr>
          <w:sz w:val="28"/>
          <w:szCs w:val="28"/>
          <w:lang w:val="lv-LV"/>
        </w:rPr>
      </w:pPr>
    </w:p>
    <w:p w14:paraId="6D255037" w14:textId="260F5BD7" w:rsidR="000F0774" w:rsidRPr="00282616" w:rsidRDefault="000F0774" w:rsidP="000F0774">
      <w:pPr>
        <w:pStyle w:val="naisf"/>
        <w:spacing w:before="0" w:beforeAutospacing="0" w:after="0" w:afterAutospacing="0"/>
        <w:ind w:right="-766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1. </w:t>
      </w:r>
      <w:r w:rsidR="003D1F9D" w:rsidRPr="00282616">
        <w:rPr>
          <w:sz w:val="28"/>
          <w:szCs w:val="28"/>
          <w:lang w:val="lv-LV"/>
        </w:rPr>
        <w:t>Aizstāt 6.1.</w:t>
      </w:r>
      <w:r w:rsidR="00915629" w:rsidRPr="00282616">
        <w:rPr>
          <w:sz w:val="28"/>
          <w:szCs w:val="28"/>
          <w:lang w:val="lv-LV"/>
        </w:rPr>
        <w:t xml:space="preserve"> </w:t>
      </w:r>
      <w:r w:rsidR="003D1F9D" w:rsidRPr="00282616">
        <w:rPr>
          <w:sz w:val="28"/>
          <w:szCs w:val="28"/>
          <w:lang w:val="lv-LV"/>
        </w:rPr>
        <w:t>apakšpunktā skaitli “</w:t>
      </w:r>
      <w:r w:rsidR="0005607E" w:rsidRPr="00282616">
        <w:rPr>
          <w:sz w:val="28"/>
          <w:szCs w:val="28"/>
          <w:lang w:val="lv-LV"/>
        </w:rPr>
        <w:t>9,96</w:t>
      </w:r>
      <w:r w:rsidR="003D1F9D" w:rsidRPr="00282616">
        <w:rPr>
          <w:sz w:val="28"/>
          <w:szCs w:val="28"/>
          <w:lang w:val="lv-LV"/>
        </w:rPr>
        <w:t>” ar skaitli “12,86”</w:t>
      </w:r>
      <w:r w:rsidR="0005607E" w:rsidRPr="00282616">
        <w:rPr>
          <w:sz w:val="28"/>
          <w:szCs w:val="28"/>
          <w:lang w:val="lv-LV"/>
        </w:rPr>
        <w:t>.</w:t>
      </w:r>
    </w:p>
    <w:p w14:paraId="5C58C798" w14:textId="54EE06A8" w:rsidR="0005607E" w:rsidRPr="00282616" w:rsidRDefault="0005607E" w:rsidP="000F0774">
      <w:pPr>
        <w:pStyle w:val="naisf"/>
        <w:spacing w:before="0" w:beforeAutospacing="0" w:after="0" w:afterAutospacing="0"/>
        <w:ind w:right="-766" w:firstLine="720"/>
        <w:rPr>
          <w:sz w:val="28"/>
          <w:szCs w:val="28"/>
          <w:lang w:val="lv-LV"/>
        </w:rPr>
      </w:pPr>
    </w:p>
    <w:p w14:paraId="4A823F36" w14:textId="7264440F" w:rsidR="0005607E" w:rsidRPr="00282616" w:rsidRDefault="0005607E" w:rsidP="000F0774">
      <w:pPr>
        <w:pStyle w:val="naisf"/>
        <w:spacing w:before="0" w:beforeAutospacing="0" w:after="0" w:afterAutospacing="0"/>
        <w:ind w:right="-766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>2. Izteikt 7. punktu šādā redakcijā:</w:t>
      </w:r>
    </w:p>
    <w:p w14:paraId="41D0F655" w14:textId="46624A8E" w:rsidR="00525FFC" w:rsidRPr="00282616" w:rsidRDefault="0005607E" w:rsidP="00525FFC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>“</w:t>
      </w:r>
      <w:r w:rsidR="00525FFC" w:rsidRPr="00282616">
        <w:rPr>
          <w:sz w:val="28"/>
          <w:szCs w:val="28"/>
          <w:lang w:val="lv-LV"/>
        </w:rPr>
        <w:t>7. Pasākumu īsteno ierobežotas projektu iesniegumu atlases veidā:</w:t>
      </w:r>
    </w:p>
    <w:p w14:paraId="0886E630" w14:textId="61313F28" w:rsidR="00525FFC" w:rsidRPr="00282616" w:rsidRDefault="00525FFC" w:rsidP="00525FFC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>7.1. pirmā projektu iesniegumu atlases kārta “Nacionālas nozīmes attīstības centru integrēšana TEN-T tīklā” (turpmāk – pirmā atlases kārta);</w:t>
      </w:r>
    </w:p>
    <w:p w14:paraId="34BE39EC" w14:textId="06C5DF99" w:rsidR="0005607E" w:rsidRPr="00282616" w:rsidRDefault="00525FFC" w:rsidP="00525FFC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>7.2. otrā projektu iesniegumu atlases kārta “Nacionālas nozīmes attīstības centru integrēšana TEN-T tīklā – papildu projekti” (turpmāk – otrā atlases kārta).</w:t>
      </w:r>
      <w:r w:rsidR="0005607E" w:rsidRPr="00282616">
        <w:rPr>
          <w:sz w:val="28"/>
          <w:szCs w:val="28"/>
          <w:lang w:val="lv-LV"/>
        </w:rPr>
        <w:t>”</w:t>
      </w:r>
      <w:r w:rsidRPr="00282616">
        <w:rPr>
          <w:sz w:val="28"/>
          <w:szCs w:val="28"/>
          <w:lang w:val="lv-LV"/>
        </w:rPr>
        <w:t>.</w:t>
      </w:r>
    </w:p>
    <w:p w14:paraId="701FA780" w14:textId="0969DF2D" w:rsidR="002B3E0F" w:rsidRPr="00282616" w:rsidRDefault="002B3E0F" w:rsidP="00525FFC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</w:p>
    <w:p w14:paraId="7A3964A7" w14:textId="6E4A433E" w:rsidR="001B1B02" w:rsidRPr="00282616" w:rsidRDefault="002B3E0F" w:rsidP="001B1B02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3. </w:t>
      </w:r>
      <w:r w:rsidR="004D2DBD" w:rsidRPr="00282616">
        <w:rPr>
          <w:sz w:val="28"/>
          <w:szCs w:val="28"/>
          <w:lang w:val="lv-LV"/>
        </w:rPr>
        <w:t>Izteikt 9.punktu šādā redakcijā:</w:t>
      </w:r>
    </w:p>
    <w:p w14:paraId="04AF0DD3" w14:textId="327609B1" w:rsidR="001B1B02" w:rsidRPr="00282616" w:rsidRDefault="004D2DBD" w:rsidP="001B1B02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 w:eastAsia="lv-LV"/>
        </w:rPr>
      </w:pPr>
      <w:r w:rsidRPr="00282616">
        <w:rPr>
          <w:sz w:val="28"/>
          <w:szCs w:val="28"/>
          <w:lang w:val="lv-LV"/>
        </w:rPr>
        <w:t>“</w:t>
      </w:r>
      <w:r w:rsidR="001B1B02" w:rsidRPr="00282616">
        <w:rPr>
          <w:sz w:val="28"/>
          <w:szCs w:val="28"/>
          <w:lang w:val="lv-LV" w:eastAsia="lv-LV"/>
        </w:rPr>
        <w:t xml:space="preserve">9. Pasākumam pieejamais kopējais attiecināmais finansējums nav mazāks kā </w:t>
      </w:r>
      <w:r w:rsidR="0066020D">
        <w:rPr>
          <w:sz w:val="28"/>
          <w:szCs w:val="28"/>
          <w:lang w:val="lv-LV" w:eastAsia="lv-LV"/>
        </w:rPr>
        <w:t>58 537 570</w:t>
      </w:r>
      <w:r w:rsidR="00255832" w:rsidRPr="00282616">
        <w:rPr>
          <w:sz w:val="28"/>
          <w:szCs w:val="28"/>
          <w:lang w:val="lv-LV" w:eastAsia="lv-LV"/>
        </w:rPr>
        <w:t xml:space="preserve"> </w:t>
      </w:r>
      <w:proofErr w:type="spellStart"/>
      <w:r w:rsidR="001B1B02" w:rsidRPr="00282616">
        <w:rPr>
          <w:i/>
          <w:iCs/>
          <w:sz w:val="28"/>
          <w:szCs w:val="28"/>
          <w:lang w:val="lv-LV" w:eastAsia="lv-LV"/>
        </w:rPr>
        <w:t>euro</w:t>
      </w:r>
      <w:proofErr w:type="spellEnd"/>
      <w:r w:rsidR="001B1B02" w:rsidRPr="00282616">
        <w:rPr>
          <w:sz w:val="28"/>
          <w:szCs w:val="28"/>
          <w:lang w:val="lv-LV" w:eastAsia="lv-LV"/>
        </w:rPr>
        <w:t xml:space="preserve">, tai skaitā Kohēzijas fonda finansējums nepārsniedz </w:t>
      </w:r>
      <w:r w:rsidR="0066020D">
        <w:rPr>
          <w:sz w:val="28"/>
          <w:szCs w:val="28"/>
          <w:lang w:val="lv-LV" w:eastAsia="lv-LV"/>
        </w:rPr>
        <w:t>49 756 932</w:t>
      </w:r>
      <w:r w:rsidR="001B1B02" w:rsidRPr="00282616">
        <w:rPr>
          <w:sz w:val="28"/>
          <w:szCs w:val="28"/>
          <w:lang w:val="lv-LV" w:eastAsia="lv-LV"/>
        </w:rPr>
        <w:t xml:space="preserve"> </w:t>
      </w:r>
      <w:proofErr w:type="spellStart"/>
      <w:r w:rsidR="001B1B02" w:rsidRPr="00282616">
        <w:rPr>
          <w:i/>
          <w:iCs/>
          <w:sz w:val="28"/>
          <w:szCs w:val="28"/>
          <w:lang w:val="lv-LV" w:eastAsia="lv-LV"/>
        </w:rPr>
        <w:t>euro</w:t>
      </w:r>
      <w:proofErr w:type="spellEnd"/>
      <w:r w:rsidR="001B1B02" w:rsidRPr="00282616">
        <w:rPr>
          <w:sz w:val="28"/>
          <w:szCs w:val="28"/>
          <w:lang w:val="lv-LV" w:eastAsia="lv-LV"/>
        </w:rPr>
        <w:t xml:space="preserve"> un nacionālais finansējums (pašvaldību finansējums un valsts budžeta dotācija pašvaldībām) nav mazāks kā </w:t>
      </w:r>
      <w:r w:rsidR="0066020D">
        <w:rPr>
          <w:sz w:val="28"/>
          <w:szCs w:val="28"/>
          <w:lang w:val="lv-LV" w:eastAsia="lv-LV"/>
        </w:rPr>
        <w:t>8 780 6</w:t>
      </w:r>
      <w:r w:rsidR="002B679D">
        <w:rPr>
          <w:sz w:val="28"/>
          <w:szCs w:val="28"/>
          <w:lang w:val="lv-LV" w:eastAsia="lv-LV"/>
        </w:rPr>
        <w:t>36</w:t>
      </w:r>
      <w:r w:rsidR="001B1B02" w:rsidRPr="00282616">
        <w:rPr>
          <w:sz w:val="28"/>
          <w:szCs w:val="28"/>
          <w:lang w:val="lv-LV" w:eastAsia="lv-LV"/>
        </w:rPr>
        <w:t> </w:t>
      </w:r>
      <w:proofErr w:type="spellStart"/>
      <w:r w:rsidR="001B1B02" w:rsidRPr="00282616">
        <w:rPr>
          <w:i/>
          <w:iCs/>
          <w:sz w:val="28"/>
          <w:szCs w:val="28"/>
          <w:lang w:val="lv-LV" w:eastAsia="lv-LV"/>
        </w:rPr>
        <w:t>euro</w:t>
      </w:r>
      <w:proofErr w:type="spellEnd"/>
      <w:r w:rsidR="001B1B02" w:rsidRPr="00282616">
        <w:rPr>
          <w:sz w:val="28"/>
          <w:szCs w:val="28"/>
          <w:lang w:val="lv-LV" w:eastAsia="lv-LV"/>
        </w:rPr>
        <w:t>:</w:t>
      </w:r>
    </w:p>
    <w:p w14:paraId="08E14BF9" w14:textId="77777777" w:rsidR="001B1B02" w:rsidRPr="00282616" w:rsidRDefault="001B1B02" w:rsidP="001B1B02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 w:eastAsia="lv-LV"/>
        </w:rPr>
      </w:pPr>
      <w:r w:rsidRPr="00282616">
        <w:rPr>
          <w:sz w:val="28"/>
          <w:szCs w:val="28"/>
          <w:lang w:val="lv-LV" w:eastAsia="lv-LV"/>
        </w:rPr>
        <w:t xml:space="preserve">9.1. pirmajā atlases kārtā pieejamais kopējais attiecināmais finansējums nav mazāks kā 52 843 452 </w:t>
      </w:r>
      <w:proofErr w:type="spellStart"/>
      <w:r w:rsidRPr="00282616">
        <w:rPr>
          <w:i/>
          <w:iCs/>
          <w:sz w:val="28"/>
          <w:szCs w:val="28"/>
          <w:lang w:val="lv-LV" w:eastAsia="lv-LV"/>
        </w:rPr>
        <w:t>euro</w:t>
      </w:r>
      <w:proofErr w:type="spellEnd"/>
      <w:r w:rsidRPr="00282616">
        <w:rPr>
          <w:sz w:val="28"/>
          <w:szCs w:val="28"/>
          <w:lang w:val="lv-LV" w:eastAsia="lv-LV"/>
        </w:rPr>
        <w:t xml:space="preserve">, tai skaitā Kohēzijas fonda finansējums nepārsniedz 44 916 932  </w:t>
      </w:r>
      <w:proofErr w:type="spellStart"/>
      <w:r w:rsidRPr="00282616">
        <w:rPr>
          <w:i/>
          <w:iCs/>
          <w:sz w:val="28"/>
          <w:szCs w:val="28"/>
          <w:lang w:val="lv-LV" w:eastAsia="lv-LV"/>
        </w:rPr>
        <w:t>euro</w:t>
      </w:r>
      <w:proofErr w:type="spellEnd"/>
      <w:r w:rsidRPr="00282616">
        <w:rPr>
          <w:sz w:val="28"/>
          <w:szCs w:val="28"/>
          <w:lang w:val="lv-LV" w:eastAsia="lv-LV"/>
        </w:rPr>
        <w:t xml:space="preserve"> un nacionālais finansējums (pašvaldību finansējums un valsts budžeta dotācija pašvaldībām) nav mazāks kā 7 926 520 </w:t>
      </w:r>
      <w:proofErr w:type="spellStart"/>
      <w:r w:rsidRPr="00282616">
        <w:rPr>
          <w:i/>
          <w:iCs/>
          <w:sz w:val="28"/>
          <w:szCs w:val="28"/>
          <w:lang w:val="lv-LV" w:eastAsia="lv-LV"/>
        </w:rPr>
        <w:t>euro</w:t>
      </w:r>
      <w:proofErr w:type="spellEnd"/>
      <w:r w:rsidRPr="00282616">
        <w:rPr>
          <w:sz w:val="28"/>
          <w:szCs w:val="28"/>
          <w:lang w:val="lv-LV" w:eastAsia="lv-LV"/>
        </w:rPr>
        <w:t>;</w:t>
      </w:r>
    </w:p>
    <w:p w14:paraId="261FC439" w14:textId="4888238E" w:rsidR="004D2DBD" w:rsidRPr="00282616" w:rsidRDefault="001B1B02" w:rsidP="001B1B02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 w:eastAsia="lv-LV"/>
        </w:rPr>
        <w:lastRenderedPageBreak/>
        <w:t xml:space="preserve">9.2. otrajā atlases kārtā pieejamais kopējais attiecināmais finansējums nav mazāks kā </w:t>
      </w:r>
      <w:r w:rsidR="002B679D">
        <w:rPr>
          <w:sz w:val="28"/>
          <w:szCs w:val="28"/>
          <w:lang w:val="lv-LV" w:eastAsia="lv-LV"/>
        </w:rPr>
        <w:t>5 694 118</w:t>
      </w:r>
      <w:r w:rsidRPr="00282616">
        <w:rPr>
          <w:sz w:val="28"/>
          <w:szCs w:val="28"/>
          <w:lang w:val="lv-LV" w:eastAsia="lv-LV"/>
        </w:rPr>
        <w:t xml:space="preserve"> </w:t>
      </w:r>
      <w:proofErr w:type="spellStart"/>
      <w:r w:rsidRPr="00282616">
        <w:rPr>
          <w:i/>
          <w:iCs/>
          <w:sz w:val="28"/>
          <w:szCs w:val="28"/>
          <w:lang w:val="lv-LV" w:eastAsia="lv-LV"/>
        </w:rPr>
        <w:t>euro</w:t>
      </w:r>
      <w:proofErr w:type="spellEnd"/>
      <w:r w:rsidRPr="00282616">
        <w:rPr>
          <w:sz w:val="28"/>
          <w:szCs w:val="28"/>
          <w:lang w:val="lv-LV" w:eastAsia="lv-LV"/>
        </w:rPr>
        <w:t xml:space="preserve">, tai skaitā Kohēzijas fonda finansējums nepārsniedz 4 840 000  </w:t>
      </w:r>
      <w:proofErr w:type="spellStart"/>
      <w:r w:rsidRPr="00282616">
        <w:rPr>
          <w:i/>
          <w:iCs/>
          <w:sz w:val="28"/>
          <w:szCs w:val="28"/>
          <w:lang w:val="lv-LV" w:eastAsia="lv-LV"/>
        </w:rPr>
        <w:t>euro</w:t>
      </w:r>
      <w:proofErr w:type="spellEnd"/>
      <w:r w:rsidRPr="00282616">
        <w:rPr>
          <w:sz w:val="28"/>
          <w:szCs w:val="28"/>
          <w:lang w:val="lv-LV" w:eastAsia="lv-LV"/>
        </w:rPr>
        <w:t xml:space="preserve"> un nacionālais finansējums (pašvaldību finansējums un valsts budžeta dotācija pašvaldībām) nav mazāks kā </w:t>
      </w:r>
      <w:r w:rsidR="00712E45">
        <w:rPr>
          <w:sz w:val="28"/>
          <w:szCs w:val="28"/>
          <w:lang w:val="lv-LV" w:eastAsia="lv-LV"/>
        </w:rPr>
        <w:t>854 118</w:t>
      </w:r>
      <w:r w:rsidRPr="00282616">
        <w:rPr>
          <w:sz w:val="28"/>
          <w:szCs w:val="28"/>
          <w:lang w:val="lv-LV" w:eastAsia="lv-LV"/>
        </w:rPr>
        <w:t xml:space="preserve"> </w:t>
      </w:r>
      <w:proofErr w:type="spellStart"/>
      <w:r w:rsidRPr="00282616">
        <w:rPr>
          <w:i/>
          <w:iCs/>
          <w:sz w:val="28"/>
          <w:szCs w:val="28"/>
          <w:lang w:val="lv-LV" w:eastAsia="lv-LV"/>
        </w:rPr>
        <w:t>euro</w:t>
      </w:r>
      <w:proofErr w:type="spellEnd"/>
      <w:r w:rsidRPr="00282616">
        <w:rPr>
          <w:sz w:val="28"/>
          <w:szCs w:val="28"/>
          <w:lang w:val="lv-LV" w:eastAsia="lv-LV"/>
        </w:rPr>
        <w:t>.</w:t>
      </w:r>
      <w:r w:rsidR="004D2DBD" w:rsidRPr="00282616">
        <w:rPr>
          <w:sz w:val="28"/>
          <w:szCs w:val="28"/>
          <w:lang w:val="lv-LV"/>
        </w:rPr>
        <w:t>”</w:t>
      </w:r>
      <w:r w:rsidRPr="00282616">
        <w:rPr>
          <w:sz w:val="28"/>
          <w:szCs w:val="28"/>
          <w:lang w:val="lv-LV"/>
        </w:rPr>
        <w:t>.</w:t>
      </w:r>
    </w:p>
    <w:p w14:paraId="79F64DDB" w14:textId="7915CE34" w:rsidR="003F559D" w:rsidRPr="00282616" w:rsidRDefault="003F559D" w:rsidP="001B1B02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</w:p>
    <w:p w14:paraId="5494A6A3" w14:textId="1F7E04EE" w:rsidR="003F559D" w:rsidRPr="00282616" w:rsidRDefault="003F559D" w:rsidP="001B1B02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4. </w:t>
      </w:r>
      <w:r w:rsidR="00915629" w:rsidRPr="00282616">
        <w:rPr>
          <w:sz w:val="28"/>
          <w:szCs w:val="28"/>
          <w:lang w:val="lv-LV"/>
        </w:rPr>
        <w:t>Papildināt 13. punktu aiz vārda “</w:t>
      </w:r>
      <w:r w:rsidR="00475D59" w:rsidRPr="00282616">
        <w:rPr>
          <w:sz w:val="28"/>
          <w:szCs w:val="28"/>
          <w:lang w:val="lv-LV"/>
        </w:rPr>
        <w:t>saņēmējiem</w:t>
      </w:r>
      <w:r w:rsidR="00915629" w:rsidRPr="00282616">
        <w:rPr>
          <w:sz w:val="28"/>
          <w:szCs w:val="28"/>
          <w:lang w:val="lv-LV"/>
        </w:rPr>
        <w:t>”</w:t>
      </w:r>
      <w:r w:rsidR="00475D59" w:rsidRPr="00282616">
        <w:rPr>
          <w:sz w:val="28"/>
          <w:szCs w:val="28"/>
          <w:lang w:val="lv-LV"/>
        </w:rPr>
        <w:t xml:space="preserve"> ar vārdiem “</w:t>
      </w:r>
      <w:r w:rsidR="00003417" w:rsidRPr="00282616">
        <w:rPr>
          <w:sz w:val="28"/>
          <w:szCs w:val="28"/>
          <w:lang w:val="lv-LV"/>
        </w:rPr>
        <w:t>pasākuma pirmajā atlases kārtā</w:t>
      </w:r>
      <w:r w:rsidR="00475D59" w:rsidRPr="00282616">
        <w:rPr>
          <w:sz w:val="28"/>
          <w:szCs w:val="28"/>
          <w:lang w:val="lv-LV"/>
        </w:rPr>
        <w:t>”</w:t>
      </w:r>
      <w:r w:rsidR="00003417" w:rsidRPr="00282616">
        <w:rPr>
          <w:sz w:val="28"/>
          <w:szCs w:val="28"/>
          <w:lang w:val="lv-LV"/>
        </w:rPr>
        <w:t>.</w:t>
      </w:r>
    </w:p>
    <w:p w14:paraId="408FE678" w14:textId="6B89526C" w:rsidR="00003417" w:rsidRPr="00282616" w:rsidRDefault="00003417" w:rsidP="001B1B02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</w:p>
    <w:p w14:paraId="0E0C69B2" w14:textId="0E861D98" w:rsidR="00900738" w:rsidRPr="00282616" w:rsidRDefault="00003417" w:rsidP="00900738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5. </w:t>
      </w:r>
      <w:r w:rsidR="000C104A" w:rsidRPr="00282616">
        <w:rPr>
          <w:sz w:val="28"/>
          <w:szCs w:val="28"/>
          <w:lang w:val="lv-LV"/>
        </w:rPr>
        <w:t xml:space="preserve">Papildināt noteikumus </w:t>
      </w:r>
      <w:r w:rsidR="009E15C1">
        <w:rPr>
          <w:sz w:val="28"/>
          <w:szCs w:val="28"/>
          <w:lang w:val="lv-LV"/>
        </w:rPr>
        <w:t xml:space="preserve">ar </w:t>
      </w:r>
      <w:r w:rsidR="000C104A" w:rsidRPr="00282616">
        <w:rPr>
          <w:sz w:val="28"/>
          <w:szCs w:val="28"/>
          <w:lang w:val="lv-LV"/>
        </w:rPr>
        <w:t>13.</w:t>
      </w:r>
      <w:r w:rsidR="000C104A" w:rsidRPr="00282616">
        <w:rPr>
          <w:sz w:val="28"/>
          <w:szCs w:val="28"/>
          <w:vertAlign w:val="superscript"/>
          <w:lang w:val="lv-LV"/>
        </w:rPr>
        <w:t>1</w:t>
      </w:r>
      <w:r w:rsidR="000C104A" w:rsidRPr="00282616">
        <w:rPr>
          <w:sz w:val="28"/>
          <w:szCs w:val="28"/>
          <w:lang w:val="lv-LV"/>
        </w:rPr>
        <w:t xml:space="preserve"> punktu šādā redakcijā:</w:t>
      </w:r>
    </w:p>
    <w:p w14:paraId="08A4BA15" w14:textId="77777777" w:rsidR="003C0A19" w:rsidRPr="00282616" w:rsidRDefault="00900738" w:rsidP="003C0A19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 w:eastAsia="lv-LV"/>
        </w:rPr>
      </w:pPr>
      <w:r w:rsidRPr="00282616">
        <w:rPr>
          <w:sz w:val="28"/>
          <w:szCs w:val="28"/>
          <w:lang w:val="lv-LV"/>
        </w:rPr>
        <w:t>“</w:t>
      </w:r>
      <w:r w:rsidRPr="00282616">
        <w:rPr>
          <w:sz w:val="28"/>
          <w:szCs w:val="28"/>
          <w:lang w:val="lv-LV" w:eastAsia="lv-LV"/>
        </w:rPr>
        <w:t>13.</w:t>
      </w:r>
      <w:r w:rsidRPr="00282616">
        <w:rPr>
          <w:sz w:val="28"/>
          <w:szCs w:val="28"/>
          <w:vertAlign w:val="superscript"/>
          <w:lang w:val="lv-LV" w:eastAsia="lv-LV"/>
        </w:rPr>
        <w:t>1</w:t>
      </w:r>
      <w:r w:rsidRPr="00282616">
        <w:rPr>
          <w:sz w:val="28"/>
          <w:szCs w:val="28"/>
          <w:lang w:val="lv-LV" w:eastAsia="lv-LV"/>
        </w:rPr>
        <w:t xml:space="preserve"> Finansējuma saņēmējiem pasākuma otrajā atlases kārtā pieejamais maksimālais Kohēzijas fonda finansējums ir:</w:t>
      </w:r>
    </w:p>
    <w:p w14:paraId="161DCA1F" w14:textId="5238CF0D" w:rsidR="003C0A19" w:rsidRPr="00282616" w:rsidRDefault="00900738" w:rsidP="003C0A19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 w:eastAsia="lv-LV"/>
        </w:rPr>
      </w:pPr>
      <w:r w:rsidRPr="00282616">
        <w:rPr>
          <w:sz w:val="28"/>
          <w:szCs w:val="28"/>
          <w:lang w:val="lv-LV" w:eastAsia="lv-LV"/>
        </w:rPr>
        <w:t>13.</w:t>
      </w:r>
      <w:r w:rsidRPr="00282616">
        <w:rPr>
          <w:sz w:val="28"/>
          <w:szCs w:val="28"/>
          <w:vertAlign w:val="superscript"/>
          <w:lang w:val="lv-LV" w:eastAsia="lv-LV"/>
        </w:rPr>
        <w:t>1</w:t>
      </w:r>
      <w:r w:rsidRPr="00282616">
        <w:rPr>
          <w:sz w:val="28"/>
          <w:szCs w:val="28"/>
          <w:lang w:val="lv-LV" w:eastAsia="lv-LV"/>
        </w:rPr>
        <w:t xml:space="preserve"> 1. Liepājai – 2 040</w:t>
      </w:r>
      <w:r w:rsidR="009E15C1">
        <w:rPr>
          <w:sz w:val="28"/>
          <w:szCs w:val="28"/>
          <w:lang w:val="lv-LV" w:eastAsia="lv-LV"/>
        </w:rPr>
        <w:t> </w:t>
      </w:r>
      <w:r w:rsidRPr="00282616">
        <w:rPr>
          <w:sz w:val="28"/>
          <w:szCs w:val="28"/>
          <w:lang w:val="lv-LV" w:eastAsia="lv-LV"/>
        </w:rPr>
        <w:t>000</w:t>
      </w:r>
      <w:r w:rsidR="009E15C1">
        <w:rPr>
          <w:sz w:val="28"/>
          <w:szCs w:val="28"/>
          <w:lang w:val="lv-LV" w:eastAsia="lv-LV"/>
        </w:rPr>
        <w:t xml:space="preserve"> </w:t>
      </w:r>
      <w:proofErr w:type="spellStart"/>
      <w:r w:rsidR="009E15C1" w:rsidRPr="00CC1BB4">
        <w:rPr>
          <w:i/>
          <w:iCs/>
          <w:sz w:val="28"/>
          <w:szCs w:val="28"/>
          <w:lang w:val="lv-LV" w:eastAsia="lv-LV"/>
        </w:rPr>
        <w:t>euro</w:t>
      </w:r>
      <w:proofErr w:type="spellEnd"/>
      <w:r w:rsidRPr="00282616">
        <w:rPr>
          <w:sz w:val="28"/>
          <w:szCs w:val="28"/>
          <w:lang w:val="lv-LV" w:eastAsia="lv-LV"/>
        </w:rPr>
        <w:t>;</w:t>
      </w:r>
    </w:p>
    <w:p w14:paraId="275FFEC0" w14:textId="686C0208" w:rsidR="00900738" w:rsidRPr="00282616" w:rsidRDefault="00900738" w:rsidP="003C0A19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 w:eastAsia="lv-LV"/>
        </w:rPr>
        <w:t>13.</w:t>
      </w:r>
      <w:r w:rsidRPr="00282616">
        <w:rPr>
          <w:sz w:val="28"/>
          <w:szCs w:val="28"/>
          <w:vertAlign w:val="superscript"/>
          <w:lang w:val="lv-LV" w:eastAsia="lv-LV"/>
        </w:rPr>
        <w:t>1</w:t>
      </w:r>
      <w:r w:rsidRPr="00282616">
        <w:rPr>
          <w:sz w:val="28"/>
          <w:szCs w:val="28"/>
          <w:lang w:val="lv-LV" w:eastAsia="lv-LV"/>
        </w:rPr>
        <w:t xml:space="preserve"> 2. Valmierai  – 2 800</w:t>
      </w:r>
      <w:r w:rsidR="009E15C1">
        <w:rPr>
          <w:sz w:val="28"/>
          <w:szCs w:val="28"/>
          <w:lang w:val="lv-LV"/>
        </w:rPr>
        <w:t> </w:t>
      </w:r>
      <w:r w:rsidRPr="00282616">
        <w:rPr>
          <w:sz w:val="28"/>
          <w:szCs w:val="28"/>
          <w:lang w:val="lv-LV" w:eastAsia="lv-LV"/>
        </w:rPr>
        <w:t>000</w:t>
      </w:r>
      <w:r w:rsidR="009E15C1">
        <w:rPr>
          <w:sz w:val="28"/>
          <w:szCs w:val="28"/>
          <w:lang w:val="lv-LV" w:eastAsia="lv-LV"/>
        </w:rPr>
        <w:t xml:space="preserve"> </w:t>
      </w:r>
      <w:proofErr w:type="spellStart"/>
      <w:r w:rsidR="009E15C1" w:rsidRPr="00CC1BB4">
        <w:rPr>
          <w:i/>
          <w:iCs/>
          <w:sz w:val="28"/>
          <w:szCs w:val="28"/>
          <w:lang w:val="lv-LV" w:eastAsia="lv-LV"/>
        </w:rPr>
        <w:t>euro</w:t>
      </w:r>
      <w:proofErr w:type="spellEnd"/>
      <w:r w:rsidRPr="00282616">
        <w:rPr>
          <w:sz w:val="28"/>
          <w:szCs w:val="28"/>
          <w:lang w:val="lv-LV"/>
        </w:rPr>
        <w:t>.”.</w:t>
      </w:r>
    </w:p>
    <w:p w14:paraId="6DE6663D" w14:textId="3AED3669" w:rsidR="003C0A19" w:rsidRPr="00282616" w:rsidRDefault="003C0A19" w:rsidP="003C0A19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</w:p>
    <w:p w14:paraId="394D248D" w14:textId="144A2F07" w:rsidR="003C0A19" w:rsidRPr="00282616" w:rsidRDefault="003C0A19" w:rsidP="003C0A19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6. </w:t>
      </w:r>
      <w:r w:rsidR="00776B74" w:rsidRPr="00282616">
        <w:rPr>
          <w:sz w:val="28"/>
          <w:szCs w:val="28"/>
          <w:lang w:val="lv-LV"/>
        </w:rPr>
        <w:t>Papildināt 19. punktu aiz vārda “</w:t>
      </w:r>
      <w:r w:rsidR="00622DD1" w:rsidRPr="00282616">
        <w:rPr>
          <w:sz w:val="28"/>
          <w:szCs w:val="28"/>
          <w:lang w:val="lv-LV"/>
        </w:rPr>
        <w:t>pasākuma</w:t>
      </w:r>
      <w:r w:rsidR="00776B74" w:rsidRPr="00282616">
        <w:rPr>
          <w:sz w:val="28"/>
          <w:szCs w:val="28"/>
          <w:lang w:val="lv-LV"/>
        </w:rPr>
        <w:t>” ar vārdiem “</w:t>
      </w:r>
      <w:r w:rsidR="005157AD" w:rsidRPr="00282616">
        <w:rPr>
          <w:sz w:val="28"/>
          <w:szCs w:val="28"/>
          <w:lang w:val="lv-LV"/>
        </w:rPr>
        <w:t>pirmās un otrās atlases kārtas</w:t>
      </w:r>
      <w:r w:rsidR="00776B74" w:rsidRPr="00282616">
        <w:rPr>
          <w:sz w:val="28"/>
          <w:szCs w:val="28"/>
          <w:lang w:val="lv-LV"/>
        </w:rPr>
        <w:t>”.</w:t>
      </w:r>
    </w:p>
    <w:p w14:paraId="7A069A57" w14:textId="6A5BEA1F" w:rsidR="005157AD" w:rsidRPr="00282616" w:rsidRDefault="005157AD" w:rsidP="003C0A19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</w:p>
    <w:p w14:paraId="225C65CA" w14:textId="77777777" w:rsidR="003B6780" w:rsidRPr="00282616" w:rsidRDefault="005157AD" w:rsidP="003B6780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7. </w:t>
      </w:r>
      <w:r w:rsidR="00003E8B" w:rsidRPr="00282616">
        <w:rPr>
          <w:sz w:val="28"/>
          <w:szCs w:val="28"/>
          <w:lang w:val="lv-LV"/>
        </w:rPr>
        <w:t>Papildināt 21. punktu ar otro teikumu šādā redakcijā:</w:t>
      </w:r>
    </w:p>
    <w:p w14:paraId="03CC763D" w14:textId="674BA7DE" w:rsidR="00003E8B" w:rsidRPr="00282616" w:rsidRDefault="00003E8B" w:rsidP="003B6780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>“</w:t>
      </w:r>
      <w:r w:rsidR="003B6780" w:rsidRPr="00282616">
        <w:rPr>
          <w:sz w:val="28"/>
          <w:szCs w:val="28"/>
          <w:lang w:val="lv-LV"/>
        </w:rPr>
        <w:t>Projekta iesniegumu sadarbības iestādē iesniedz elektroniski, izmantojot Kohēzijas politikas fondu vadības informācijas sistēmu 2014.–2020. gadam.</w:t>
      </w:r>
      <w:r w:rsidRPr="00282616">
        <w:rPr>
          <w:sz w:val="28"/>
          <w:szCs w:val="28"/>
          <w:lang w:val="lv-LV"/>
        </w:rPr>
        <w:t>”</w:t>
      </w:r>
      <w:r w:rsidR="003B6780" w:rsidRPr="00282616">
        <w:rPr>
          <w:sz w:val="28"/>
          <w:szCs w:val="28"/>
          <w:lang w:val="lv-LV"/>
        </w:rPr>
        <w:t>.</w:t>
      </w:r>
    </w:p>
    <w:p w14:paraId="5C73D8EC" w14:textId="6355B770" w:rsidR="003B6780" w:rsidRPr="00282616" w:rsidRDefault="003B6780" w:rsidP="003B6780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</w:p>
    <w:p w14:paraId="73E6D7F9" w14:textId="77777777" w:rsidR="00DB7D44" w:rsidRPr="00282616" w:rsidRDefault="003B6780" w:rsidP="002F0BDD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8. </w:t>
      </w:r>
      <w:r w:rsidR="00FF61B6" w:rsidRPr="00282616">
        <w:rPr>
          <w:sz w:val="28"/>
          <w:szCs w:val="28"/>
          <w:lang w:val="lv-LV"/>
        </w:rPr>
        <w:t>Papildināt 30. punktu ar otro teikumu šādā redakcijā:</w:t>
      </w:r>
    </w:p>
    <w:p w14:paraId="61586D3E" w14:textId="77777777" w:rsidR="004F2F50" w:rsidRPr="00282616" w:rsidRDefault="00DB7D44" w:rsidP="004F2F50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“Pasākuma otrajā atlases kārtā izmaksas ir attiecināmas no dienas, kad ir pieņemts Ministru kabineta rīkojums par grozījumiem Eiropas Savienības struktūrfondu un Kohēzijas fonda 2014.–2020. gada plānošanas perioda darbības programmā </w:t>
      </w:r>
      <w:r w:rsidR="009829A6" w:rsidRPr="00282616">
        <w:rPr>
          <w:sz w:val="28"/>
          <w:szCs w:val="28"/>
          <w:lang w:val="lv-LV"/>
        </w:rPr>
        <w:t>“</w:t>
      </w:r>
      <w:r w:rsidRPr="00282616">
        <w:rPr>
          <w:sz w:val="28"/>
          <w:szCs w:val="28"/>
          <w:lang w:val="lv-LV"/>
        </w:rPr>
        <w:t>Izaugsme un nodarbinātība</w:t>
      </w:r>
      <w:r w:rsidR="009829A6" w:rsidRPr="00282616">
        <w:rPr>
          <w:sz w:val="28"/>
          <w:szCs w:val="28"/>
          <w:lang w:val="lv-LV"/>
        </w:rPr>
        <w:t>”</w:t>
      </w:r>
      <w:r w:rsidRPr="00282616">
        <w:rPr>
          <w:sz w:val="28"/>
          <w:szCs w:val="28"/>
          <w:lang w:val="lv-LV"/>
        </w:rPr>
        <w:t>, kas paredz finansējuma pārdali pasākuma</w:t>
      </w:r>
      <w:r w:rsidR="002F0BDD" w:rsidRPr="00282616">
        <w:rPr>
          <w:sz w:val="28"/>
          <w:szCs w:val="28"/>
          <w:lang w:val="lv-LV"/>
        </w:rPr>
        <w:t xml:space="preserve"> </w:t>
      </w:r>
      <w:r w:rsidRPr="00282616">
        <w:rPr>
          <w:sz w:val="28"/>
          <w:szCs w:val="28"/>
          <w:lang w:val="lv-LV"/>
        </w:rPr>
        <w:t>otrās atlases kārtas projektu īstenošanai.”</w:t>
      </w:r>
      <w:r w:rsidR="009829A6" w:rsidRPr="00282616">
        <w:rPr>
          <w:sz w:val="28"/>
          <w:szCs w:val="28"/>
          <w:lang w:val="lv-LV"/>
        </w:rPr>
        <w:t xml:space="preserve">. </w:t>
      </w:r>
    </w:p>
    <w:p w14:paraId="47F98CB6" w14:textId="77777777" w:rsidR="004F2F50" w:rsidRPr="00282616" w:rsidRDefault="004F2F50" w:rsidP="004F2F50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</w:p>
    <w:p w14:paraId="5C171AE8" w14:textId="2D3B439C" w:rsidR="004F2F50" w:rsidRPr="00282616" w:rsidRDefault="002F0BDD" w:rsidP="004F2F50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>9.</w:t>
      </w:r>
      <w:r w:rsidR="004F2F50" w:rsidRPr="00CC1BB4">
        <w:rPr>
          <w:lang w:val="lv-LV"/>
        </w:rPr>
        <w:t xml:space="preserve"> </w:t>
      </w:r>
      <w:r w:rsidR="004F2F50" w:rsidRPr="00282616">
        <w:rPr>
          <w:sz w:val="28"/>
          <w:szCs w:val="28"/>
          <w:lang w:val="lv-LV"/>
        </w:rPr>
        <w:t>Papildināt noteikumus ar V nodaļu šādā redakcijā:</w:t>
      </w:r>
    </w:p>
    <w:p w14:paraId="37406CE7" w14:textId="77777777" w:rsidR="00827FC4" w:rsidRPr="00282616" w:rsidRDefault="00827FC4" w:rsidP="00827FC4">
      <w:pPr>
        <w:pStyle w:val="naisf"/>
        <w:spacing w:before="0" w:beforeAutospacing="0" w:after="0" w:afterAutospacing="0"/>
        <w:ind w:right="-765" w:firstLine="720"/>
        <w:jc w:val="center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>“</w:t>
      </w:r>
      <w:r w:rsidRPr="00282616">
        <w:rPr>
          <w:b/>
          <w:bCs/>
          <w:sz w:val="28"/>
          <w:szCs w:val="28"/>
          <w:lang w:val="lv-LV"/>
        </w:rPr>
        <w:t>V. Noslēguma jautājumi</w:t>
      </w:r>
    </w:p>
    <w:p w14:paraId="7236AC6A" w14:textId="77777777" w:rsidR="00EA244D" w:rsidRPr="00282616" w:rsidRDefault="00EA244D" w:rsidP="004F2F50">
      <w:pPr>
        <w:pStyle w:val="naisf"/>
        <w:spacing w:before="0" w:beforeAutospacing="0" w:after="0" w:afterAutospacing="0"/>
        <w:ind w:right="-765" w:firstLine="720"/>
        <w:rPr>
          <w:sz w:val="28"/>
          <w:szCs w:val="28"/>
          <w:lang w:val="lv-LV"/>
        </w:rPr>
      </w:pPr>
    </w:p>
    <w:p w14:paraId="291BB081" w14:textId="1F6B8687" w:rsidR="00DB7D44" w:rsidRDefault="00827FC4" w:rsidP="00EA244D">
      <w:pPr>
        <w:pStyle w:val="naisf"/>
        <w:spacing w:before="0" w:beforeAutospacing="0" w:after="0" w:afterAutospacing="0"/>
        <w:ind w:right="-765" w:firstLine="720"/>
        <w:jc w:val="left"/>
        <w:rPr>
          <w:sz w:val="28"/>
          <w:szCs w:val="28"/>
          <w:lang w:val="lv-LV"/>
        </w:rPr>
      </w:pPr>
      <w:r w:rsidRPr="00282616">
        <w:rPr>
          <w:sz w:val="28"/>
          <w:szCs w:val="28"/>
          <w:lang w:val="lv-LV"/>
        </w:rPr>
        <w:t xml:space="preserve">37. </w:t>
      </w:r>
      <w:r w:rsidR="00EA244D" w:rsidRPr="00282616">
        <w:rPr>
          <w:sz w:val="28"/>
          <w:szCs w:val="28"/>
          <w:lang w:val="lv-LV"/>
        </w:rPr>
        <w:t>Šo noteikumu 15., 16., 17. un 18. punkts ir attiecināms uz pasākuma pirmo atlases kārtu.</w:t>
      </w:r>
      <w:r w:rsidRPr="00282616">
        <w:rPr>
          <w:sz w:val="28"/>
          <w:szCs w:val="28"/>
          <w:lang w:val="lv-LV"/>
        </w:rPr>
        <w:t>”</w:t>
      </w:r>
      <w:r w:rsidR="00EA244D" w:rsidRPr="00282616">
        <w:rPr>
          <w:sz w:val="28"/>
          <w:szCs w:val="28"/>
          <w:lang w:val="lv-LV"/>
        </w:rPr>
        <w:t>.</w:t>
      </w:r>
      <w:r w:rsidR="00DB7D44">
        <w:rPr>
          <w:sz w:val="28"/>
          <w:szCs w:val="28"/>
          <w:lang w:val="lv-LV"/>
        </w:rPr>
        <w:br/>
      </w:r>
    </w:p>
    <w:p w14:paraId="3827C29C" w14:textId="77777777" w:rsidR="00A35A74" w:rsidRDefault="00A35A74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A8197BC" w14:textId="6B04F494" w:rsidR="00115ADD" w:rsidRPr="001B1B02" w:rsidRDefault="00115ADD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Ministru prezidents</w:t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>A. K. Kariņš</w:t>
      </w:r>
    </w:p>
    <w:p w14:paraId="48A6D4C6" w14:textId="77777777" w:rsidR="00115ADD" w:rsidRPr="001B1B02" w:rsidRDefault="00115ADD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 xml:space="preserve"> </w:t>
      </w:r>
    </w:p>
    <w:p w14:paraId="433D82BA" w14:textId="3B74708B" w:rsidR="00115ADD" w:rsidRPr="001B1B02" w:rsidRDefault="00115ADD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Satiksmes ministrs</w:t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="00862D90"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>T. </w:t>
      </w:r>
      <w:proofErr w:type="spellStart"/>
      <w:r w:rsidRPr="001B1B02">
        <w:rPr>
          <w:rFonts w:ascii="Times New Roman" w:hAnsi="Times New Roman"/>
          <w:sz w:val="28"/>
          <w:szCs w:val="28"/>
        </w:rPr>
        <w:t>Linkaits</w:t>
      </w:r>
      <w:proofErr w:type="spellEnd"/>
    </w:p>
    <w:p w14:paraId="519E0D97" w14:textId="7D0E5544" w:rsidR="00A94CC3" w:rsidRPr="001B1B02" w:rsidRDefault="00A94CC3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E76646" w14:textId="77777777" w:rsidR="00A35A74" w:rsidRDefault="00A35A74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4FC47D4" w14:textId="5D140A99" w:rsidR="00115ADD" w:rsidRPr="001B1B02" w:rsidRDefault="00115ADD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Iesniedzējs:</w:t>
      </w:r>
    </w:p>
    <w:p w14:paraId="4D5C6163" w14:textId="52A5DA7A" w:rsidR="00115ADD" w:rsidRPr="001B1B02" w:rsidRDefault="009E40FC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S</w:t>
      </w:r>
      <w:r w:rsidR="00115ADD" w:rsidRPr="001B1B02">
        <w:rPr>
          <w:rFonts w:ascii="Times New Roman" w:hAnsi="Times New Roman"/>
          <w:sz w:val="28"/>
          <w:szCs w:val="28"/>
        </w:rPr>
        <w:t xml:space="preserve">atiksmes ministrs </w:t>
      </w:r>
      <w:r w:rsidR="00115ADD" w:rsidRPr="001B1B02">
        <w:rPr>
          <w:rFonts w:ascii="Times New Roman" w:hAnsi="Times New Roman"/>
          <w:sz w:val="28"/>
          <w:szCs w:val="28"/>
        </w:rPr>
        <w:tab/>
      </w:r>
      <w:r w:rsidR="00115ADD" w:rsidRPr="001B1B02">
        <w:rPr>
          <w:rFonts w:ascii="Times New Roman" w:hAnsi="Times New Roman"/>
          <w:sz w:val="28"/>
          <w:szCs w:val="28"/>
        </w:rPr>
        <w:tab/>
      </w:r>
      <w:r w:rsidR="00115ADD" w:rsidRPr="001B1B02">
        <w:rPr>
          <w:rFonts w:ascii="Times New Roman" w:hAnsi="Times New Roman"/>
          <w:sz w:val="28"/>
          <w:szCs w:val="28"/>
        </w:rPr>
        <w:tab/>
      </w:r>
      <w:r w:rsidR="00115ADD" w:rsidRPr="001B1B02">
        <w:rPr>
          <w:rFonts w:ascii="Times New Roman" w:hAnsi="Times New Roman"/>
          <w:sz w:val="28"/>
          <w:szCs w:val="28"/>
        </w:rPr>
        <w:tab/>
      </w:r>
      <w:r w:rsidR="00586275" w:rsidRPr="001B1B02">
        <w:rPr>
          <w:rFonts w:ascii="Times New Roman" w:hAnsi="Times New Roman"/>
          <w:sz w:val="28"/>
          <w:szCs w:val="28"/>
        </w:rPr>
        <w:tab/>
      </w:r>
      <w:r w:rsidR="00115ADD" w:rsidRPr="001B1B02">
        <w:rPr>
          <w:rFonts w:ascii="Times New Roman" w:hAnsi="Times New Roman"/>
          <w:sz w:val="28"/>
          <w:szCs w:val="28"/>
        </w:rPr>
        <w:t>T. </w:t>
      </w:r>
      <w:proofErr w:type="spellStart"/>
      <w:r w:rsidR="00115ADD" w:rsidRPr="001B1B02">
        <w:rPr>
          <w:rFonts w:ascii="Times New Roman" w:hAnsi="Times New Roman"/>
          <w:sz w:val="28"/>
          <w:szCs w:val="28"/>
        </w:rPr>
        <w:t>Linkaits</w:t>
      </w:r>
      <w:proofErr w:type="spellEnd"/>
    </w:p>
    <w:p w14:paraId="6272013A" w14:textId="77777777" w:rsidR="009E40FC" w:rsidRPr="001B1B02" w:rsidRDefault="009E40FC" w:rsidP="00B62E9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82DAD2" w14:textId="77777777" w:rsidR="00BF1054" w:rsidRPr="001B1B02" w:rsidRDefault="00BF1054" w:rsidP="00BF1054">
      <w:pPr>
        <w:ind w:firstLine="720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 xml:space="preserve">Vīza: </w:t>
      </w:r>
    </w:p>
    <w:p w14:paraId="0B11919E" w14:textId="77777777" w:rsidR="00BF1054" w:rsidRPr="001B1B02" w:rsidRDefault="00BF1054" w:rsidP="00BF1054">
      <w:pPr>
        <w:ind w:firstLine="720"/>
        <w:rPr>
          <w:rFonts w:ascii="Times New Roman" w:hAnsi="Times New Roman"/>
          <w:sz w:val="28"/>
          <w:szCs w:val="28"/>
        </w:rPr>
      </w:pPr>
      <w:r w:rsidRPr="001B1B02">
        <w:rPr>
          <w:rFonts w:ascii="Times New Roman" w:hAnsi="Times New Roman"/>
          <w:sz w:val="28"/>
          <w:szCs w:val="28"/>
        </w:rPr>
        <w:t>valsts sekretāre</w:t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</w:r>
      <w:r w:rsidRPr="001B1B02">
        <w:rPr>
          <w:rFonts w:ascii="Times New Roman" w:hAnsi="Times New Roman"/>
          <w:sz w:val="28"/>
          <w:szCs w:val="28"/>
        </w:rPr>
        <w:tab/>
        <w:t>I. Stepanova</w:t>
      </w:r>
    </w:p>
    <w:sectPr w:rsidR="00BF1054" w:rsidRPr="001B1B02" w:rsidSect="00693E40">
      <w:footerReference w:type="default" r:id="rId8"/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26B7" w14:textId="77777777" w:rsidR="00130180" w:rsidRDefault="00130180" w:rsidP="00B8348B">
      <w:r>
        <w:separator/>
      </w:r>
    </w:p>
  </w:endnote>
  <w:endnote w:type="continuationSeparator" w:id="0">
    <w:p w14:paraId="2211F3C0" w14:textId="77777777" w:rsidR="00130180" w:rsidRDefault="00130180" w:rsidP="00B8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TL">
    <w:altName w:val="Times New Roman"/>
    <w:charset w:val="00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960E" w14:textId="391A0F84" w:rsidR="00B8348B" w:rsidRPr="000055D9" w:rsidRDefault="000055D9" w:rsidP="000055D9">
    <w:pPr>
      <w:pStyle w:val="Footer"/>
    </w:pPr>
    <w:r w:rsidRPr="000055D9">
      <w:rPr>
        <w:rFonts w:ascii="Times New Roman" w:hAnsi="Times New Roman"/>
        <w:sz w:val="22"/>
        <w:szCs w:val="22"/>
      </w:rPr>
      <w:t>SMNot_</w:t>
    </w:r>
    <w:r w:rsidR="006E300B">
      <w:rPr>
        <w:rFonts w:ascii="Times New Roman" w:hAnsi="Times New Roman"/>
        <w:sz w:val="22"/>
        <w:szCs w:val="22"/>
      </w:rPr>
      <w:t>1604</w:t>
    </w:r>
    <w:r w:rsidRPr="000055D9">
      <w:rPr>
        <w:rFonts w:ascii="Times New Roman" w:hAnsi="Times New Roman"/>
        <w:sz w:val="22"/>
        <w:szCs w:val="22"/>
      </w:rPr>
      <w:t>2021_MKNgroz587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DED5" w14:textId="77777777" w:rsidR="00130180" w:rsidRDefault="00130180" w:rsidP="00B8348B">
      <w:r>
        <w:separator/>
      </w:r>
    </w:p>
  </w:footnote>
  <w:footnote w:type="continuationSeparator" w:id="0">
    <w:p w14:paraId="7DA9D8EB" w14:textId="77777777" w:rsidR="00130180" w:rsidRDefault="00130180" w:rsidP="00B8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751"/>
    <w:multiLevelType w:val="hybridMultilevel"/>
    <w:tmpl w:val="BBF4FCF4"/>
    <w:lvl w:ilvl="0" w:tplc="0426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87" w:hanging="360"/>
      </w:pPr>
    </w:lvl>
    <w:lvl w:ilvl="2" w:tplc="0426001B" w:tentative="1">
      <w:start w:val="1"/>
      <w:numFmt w:val="lowerRoman"/>
      <w:lvlText w:val="%3."/>
      <w:lvlJc w:val="right"/>
      <w:pPr>
        <w:ind w:left="2007" w:hanging="180"/>
      </w:pPr>
    </w:lvl>
    <w:lvl w:ilvl="3" w:tplc="0426000F" w:tentative="1">
      <w:start w:val="1"/>
      <w:numFmt w:val="decimal"/>
      <w:lvlText w:val="%4."/>
      <w:lvlJc w:val="left"/>
      <w:pPr>
        <w:ind w:left="2727" w:hanging="360"/>
      </w:pPr>
    </w:lvl>
    <w:lvl w:ilvl="4" w:tplc="04260019" w:tentative="1">
      <w:start w:val="1"/>
      <w:numFmt w:val="lowerLetter"/>
      <w:lvlText w:val="%5."/>
      <w:lvlJc w:val="left"/>
      <w:pPr>
        <w:ind w:left="3447" w:hanging="360"/>
      </w:pPr>
    </w:lvl>
    <w:lvl w:ilvl="5" w:tplc="0426001B" w:tentative="1">
      <w:start w:val="1"/>
      <w:numFmt w:val="lowerRoman"/>
      <w:lvlText w:val="%6."/>
      <w:lvlJc w:val="right"/>
      <w:pPr>
        <w:ind w:left="4167" w:hanging="180"/>
      </w:pPr>
    </w:lvl>
    <w:lvl w:ilvl="6" w:tplc="0426000F" w:tentative="1">
      <w:start w:val="1"/>
      <w:numFmt w:val="decimal"/>
      <w:lvlText w:val="%7."/>
      <w:lvlJc w:val="left"/>
      <w:pPr>
        <w:ind w:left="4887" w:hanging="360"/>
      </w:pPr>
    </w:lvl>
    <w:lvl w:ilvl="7" w:tplc="04260019" w:tentative="1">
      <w:start w:val="1"/>
      <w:numFmt w:val="lowerLetter"/>
      <w:lvlText w:val="%8."/>
      <w:lvlJc w:val="left"/>
      <w:pPr>
        <w:ind w:left="5607" w:hanging="360"/>
      </w:pPr>
    </w:lvl>
    <w:lvl w:ilvl="8" w:tplc="0426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79951936"/>
    <w:multiLevelType w:val="hybridMultilevel"/>
    <w:tmpl w:val="D09CAF9A"/>
    <w:lvl w:ilvl="0" w:tplc="CAB87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D"/>
    <w:rsid w:val="00003417"/>
    <w:rsid w:val="00003E8B"/>
    <w:rsid w:val="000055D9"/>
    <w:rsid w:val="0005607E"/>
    <w:rsid w:val="000C104A"/>
    <w:rsid w:val="000D4EA9"/>
    <w:rsid w:val="000F0774"/>
    <w:rsid w:val="00115ADD"/>
    <w:rsid w:val="00125DBB"/>
    <w:rsid w:val="00130180"/>
    <w:rsid w:val="00160C98"/>
    <w:rsid w:val="00170C19"/>
    <w:rsid w:val="00197B65"/>
    <w:rsid w:val="001B1B02"/>
    <w:rsid w:val="001C3CEB"/>
    <w:rsid w:val="001C431E"/>
    <w:rsid w:val="001E5436"/>
    <w:rsid w:val="001F315A"/>
    <w:rsid w:val="00210A90"/>
    <w:rsid w:val="00221FAE"/>
    <w:rsid w:val="00255832"/>
    <w:rsid w:val="00275D09"/>
    <w:rsid w:val="00275E45"/>
    <w:rsid w:val="00282616"/>
    <w:rsid w:val="002B3E0F"/>
    <w:rsid w:val="002B679D"/>
    <w:rsid w:val="002C2BBF"/>
    <w:rsid w:val="002F0BDD"/>
    <w:rsid w:val="00311F16"/>
    <w:rsid w:val="00314701"/>
    <w:rsid w:val="00314E0A"/>
    <w:rsid w:val="00354BE1"/>
    <w:rsid w:val="003938EC"/>
    <w:rsid w:val="003A3B87"/>
    <w:rsid w:val="003A567E"/>
    <w:rsid w:val="003A6D53"/>
    <w:rsid w:val="003B542C"/>
    <w:rsid w:val="003B6780"/>
    <w:rsid w:val="003C0A19"/>
    <w:rsid w:val="003D1F9D"/>
    <w:rsid w:val="003D6DFD"/>
    <w:rsid w:val="003F559D"/>
    <w:rsid w:val="004615F2"/>
    <w:rsid w:val="004713DE"/>
    <w:rsid w:val="00475D59"/>
    <w:rsid w:val="00494B14"/>
    <w:rsid w:val="004D2DBD"/>
    <w:rsid w:val="004D34FF"/>
    <w:rsid w:val="004D5E5F"/>
    <w:rsid w:val="004F252E"/>
    <w:rsid w:val="004F2F50"/>
    <w:rsid w:val="004F323D"/>
    <w:rsid w:val="005157AD"/>
    <w:rsid w:val="00525FFC"/>
    <w:rsid w:val="005374AE"/>
    <w:rsid w:val="00586275"/>
    <w:rsid w:val="005A1B22"/>
    <w:rsid w:val="005B1238"/>
    <w:rsid w:val="005C20BA"/>
    <w:rsid w:val="005E1FF5"/>
    <w:rsid w:val="005E51F0"/>
    <w:rsid w:val="00603230"/>
    <w:rsid w:val="006203B8"/>
    <w:rsid w:val="00622DD1"/>
    <w:rsid w:val="00646177"/>
    <w:rsid w:val="00650AC1"/>
    <w:rsid w:val="0066020D"/>
    <w:rsid w:val="00693E40"/>
    <w:rsid w:val="00696356"/>
    <w:rsid w:val="006E300B"/>
    <w:rsid w:val="00712E45"/>
    <w:rsid w:val="00761A93"/>
    <w:rsid w:val="00776B74"/>
    <w:rsid w:val="00797097"/>
    <w:rsid w:val="007A66A3"/>
    <w:rsid w:val="007D78D6"/>
    <w:rsid w:val="00807F4B"/>
    <w:rsid w:val="0081192B"/>
    <w:rsid w:val="00816302"/>
    <w:rsid w:val="00827FC4"/>
    <w:rsid w:val="008459B9"/>
    <w:rsid w:val="00862D90"/>
    <w:rsid w:val="00895F12"/>
    <w:rsid w:val="008F15CA"/>
    <w:rsid w:val="00900738"/>
    <w:rsid w:val="00915629"/>
    <w:rsid w:val="009829A6"/>
    <w:rsid w:val="00990DD0"/>
    <w:rsid w:val="009B6401"/>
    <w:rsid w:val="009C1C8B"/>
    <w:rsid w:val="009C7C4D"/>
    <w:rsid w:val="009D0F65"/>
    <w:rsid w:val="009E15C1"/>
    <w:rsid w:val="009E40FC"/>
    <w:rsid w:val="00A276BF"/>
    <w:rsid w:val="00A35A74"/>
    <w:rsid w:val="00A563F9"/>
    <w:rsid w:val="00A82860"/>
    <w:rsid w:val="00A94CC3"/>
    <w:rsid w:val="00A95519"/>
    <w:rsid w:val="00A9746D"/>
    <w:rsid w:val="00AA4A0A"/>
    <w:rsid w:val="00AB0F0C"/>
    <w:rsid w:val="00AB5316"/>
    <w:rsid w:val="00AC6E68"/>
    <w:rsid w:val="00B0111F"/>
    <w:rsid w:val="00B30188"/>
    <w:rsid w:val="00B35D2B"/>
    <w:rsid w:val="00B445B3"/>
    <w:rsid w:val="00B62E94"/>
    <w:rsid w:val="00B74E49"/>
    <w:rsid w:val="00B76709"/>
    <w:rsid w:val="00B8348B"/>
    <w:rsid w:val="00BB3036"/>
    <w:rsid w:val="00BF0CB3"/>
    <w:rsid w:val="00BF1054"/>
    <w:rsid w:val="00C01F88"/>
    <w:rsid w:val="00C02B0E"/>
    <w:rsid w:val="00C3051B"/>
    <w:rsid w:val="00C4344F"/>
    <w:rsid w:val="00C96A50"/>
    <w:rsid w:val="00CC1BB4"/>
    <w:rsid w:val="00CC6175"/>
    <w:rsid w:val="00D52326"/>
    <w:rsid w:val="00D61F96"/>
    <w:rsid w:val="00DA45AF"/>
    <w:rsid w:val="00DB0619"/>
    <w:rsid w:val="00DB7D44"/>
    <w:rsid w:val="00DF043A"/>
    <w:rsid w:val="00E07CE8"/>
    <w:rsid w:val="00E23903"/>
    <w:rsid w:val="00E75842"/>
    <w:rsid w:val="00EA244D"/>
    <w:rsid w:val="00EB6668"/>
    <w:rsid w:val="00EE39BE"/>
    <w:rsid w:val="00F23EF5"/>
    <w:rsid w:val="00F308C6"/>
    <w:rsid w:val="00F6562F"/>
    <w:rsid w:val="00F8410A"/>
    <w:rsid w:val="00FB2F5C"/>
    <w:rsid w:val="00FF61B6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797D2D"/>
  <w15:chartTrackingRefBased/>
  <w15:docId w15:val="{414D5DAC-C6D7-4A73-8BBF-5C5BF0D8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DD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15ADD"/>
    <w:pPr>
      <w:jc w:val="both"/>
    </w:pPr>
    <w:rPr>
      <w:rFonts w:ascii="Times New Roman" w:hAnsi="Times New Roman"/>
      <w:b/>
      <w:bCs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15AD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naisf">
    <w:name w:val="naisf"/>
    <w:basedOn w:val="Normal"/>
    <w:rsid w:val="00115ADD"/>
    <w:pPr>
      <w:spacing w:before="100" w:beforeAutospacing="1" w:after="100" w:afterAutospacing="1"/>
      <w:jc w:val="both"/>
    </w:pPr>
    <w:rPr>
      <w:rFonts w:ascii="Times New Roman" w:hAnsi="Times New Roman"/>
      <w:szCs w:val="24"/>
      <w:lang w:val="en-GB" w:eastAsia="en-US"/>
    </w:rPr>
  </w:style>
  <w:style w:type="paragraph" w:customStyle="1" w:styleId="naisc">
    <w:name w:val="naisc"/>
    <w:basedOn w:val="Normal"/>
    <w:uiPriority w:val="99"/>
    <w:rsid w:val="00115ADD"/>
    <w:pPr>
      <w:spacing w:before="100" w:beforeAutospacing="1" w:after="100" w:afterAutospacing="1"/>
      <w:jc w:val="center"/>
    </w:pPr>
    <w:rPr>
      <w:rFonts w:ascii="Times New Roman" w:hAnsi="Times New Roman"/>
      <w:sz w:val="26"/>
      <w:szCs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4F32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5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D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DBB"/>
    <w:rPr>
      <w:rFonts w:ascii="Dutch TL" w:eastAsia="Times New Roman" w:hAnsi="Dutch TL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DBB"/>
    <w:rPr>
      <w:rFonts w:ascii="Dutch TL" w:eastAsia="Times New Roman" w:hAnsi="Dutch TL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D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BB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834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48B"/>
    <w:rPr>
      <w:rFonts w:ascii="Dutch TL" w:eastAsia="Times New Roman" w:hAnsi="Dutch TL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834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48B"/>
    <w:rPr>
      <w:rFonts w:ascii="Dutch TL" w:eastAsia="Times New Roman" w:hAnsi="Dutch TL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B727-E0BF-47FD-B10D-6313BECA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2016. gada 30. augusta noteikumos Nr. 587 “Darbības programmas “Izaugsme un nodarbinātība” 6.1.4. specifiskā atbalsta mērķa “Pilsētu infrastruktūras sasaiste ar TEN-T tīklu” 6.1.4.2. pasākuma “Nacionālas nozīmes attīstības cent</vt:lpstr>
    </vt:vector>
  </TitlesOfParts>
  <Company>Satiksmes ministrija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2016. gada 30. augusta noteikumos Nr. 587 “Darbības programmas “Izaugsme un nodarbinātība” 6.1.4. specifiskā atbalsta mērķa “Pilsētu infrastruktūras sasaiste ar TEN-T tīklu” 6.1.4.2. pasākuma “Nacionālas nozīmes attīstības centru integrēšana TEN-T tīklā” īstenošanas noteikumi”</dc:title>
  <dc:subject>Noteikumu projekts</dc:subject>
  <dc:creator>rudolfs.kudla@sam.gov.lv</dc:creator>
  <cp:keywords>MK noteikumu projekts</cp:keywords>
  <dc:description>67028223_x000d_
rudolfs.kudla@sam.gov.lv</dc:description>
  <cp:lastModifiedBy>Rūdolfs Kudļa</cp:lastModifiedBy>
  <cp:revision>66</cp:revision>
  <cp:lastPrinted>2019-12-16T11:31:00Z</cp:lastPrinted>
  <dcterms:created xsi:type="dcterms:W3CDTF">2021-03-23T12:38:00Z</dcterms:created>
  <dcterms:modified xsi:type="dcterms:W3CDTF">2021-04-16T08:15:00Z</dcterms:modified>
</cp:coreProperties>
</file>