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6FC7" w14:textId="77777777" w:rsidR="00845998" w:rsidRPr="00845998" w:rsidRDefault="00D60294" w:rsidP="00845998">
      <w:pPr>
        <w:spacing w:after="0" w:line="240" w:lineRule="auto"/>
        <w:jc w:val="center"/>
        <w:rPr>
          <w:rFonts w:ascii="Times New Roman" w:hAnsi="Times New Roman" w:cs="Times New Roman"/>
          <w:b/>
          <w:bCs/>
          <w:color w:val="000000"/>
          <w:sz w:val="26"/>
          <w:szCs w:val="26"/>
          <w:lang w:eastAsia="lv-LV"/>
        </w:rPr>
      </w:pPr>
      <w:r w:rsidRPr="00845998">
        <w:rPr>
          <w:rFonts w:ascii="Times New Roman" w:hAnsi="Times New Roman" w:cs="Times New Roman"/>
          <w:b/>
          <w:bCs/>
          <w:color w:val="000000"/>
          <w:sz w:val="26"/>
          <w:szCs w:val="26"/>
          <w:lang w:eastAsia="lv-LV"/>
        </w:rPr>
        <w:t>Ministru kabineta noteikumu projekta</w:t>
      </w:r>
    </w:p>
    <w:p w14:paraId="5488F266" w14:textId="317938A2" w:rsidR="00845998" w:rsidRPr="00845998" w:rsidRDefault="00CB09B4" w:rsidP="00845998">
      <w:pPr>
        <w:spacing w:after="0" w:line="240" w:lineRule="auto"/>
        <w:jc w:val="center"/>
        <w:rPr>
          <w:rFonts w:ascii="Times New Roman" w:hAnsi="Times New Roman" w:cs="Times New Roman"/>
          <w:b/>
          <w:bCs/>
          <w:sz w:val="26"/>
          <w:szCs w:val="26"/>
        </w:rPr>
      </w:pPr>
      <w:r w:rsidRPr="00845998">
        <w:rPr>
          <w:rFonts w:ascii="Times New Roman" w:hAnsi="Times New Roman" w:cs="Times New Roman"/>
          <w:b/>
          <w:bCs/>
          <w:color w:val="000000"/>
          <w:sz w:val="26"/>
          <w:szCs w:val="26"/>
          <w:lang w:eastAsia="lv-LV"/>
        </w:rPr>
        <w:t xml:space="preserve"> „</w:t>
      </w:r>
      <w:r w:rsidR="00845998" w:rsidRPr="00845998">
        <w:rPr>
          <w:rFonts w:ascii="Times New Roman" w:hAnsi="Times New Roman" w:cs="Times New Roman"/>
          <w:b/>
          <w:bCs/>
          <w:sz w:val="26"/>
          <w:szCs w:val="26"/>
        </w:rPr>
        <w:t xml:space="preserve"> Komerciālo pārvadājumu noteikumi”</w:t>
      </w:r>
    </w:p>
    <w:p w14:paraId="7CFECE47" w14:textId="1792DF5D" w:rsidR="00CB09B4" w:rsidRDefault="00CB09B4" w:rsidP="00845998">
      <w:pPr>
        <w:spacing w:after="0" w:line="240" w:lineRule="auto"/>
        <w:jc w:val="center"/>
        <w:rPr>
          <w:rFonts w:ascii="Times New Roman" w:hAnsi="Times New Roman" w:cs="Times New Roman"/>
          <w:b/>
          <w:bCs/>
          <w:color w:val="000000"/>
          <w:sz w:val="26"/>
          <w:szCs w:val="26"/>
          <w:lang w:eastAsia="lv-LV"/>
        </w:rPr>
      </w:pPr>
      <w:r w:rsidRPr="00845998">
        <w:rPr>
          <w:rFonts w:ascii="Times New Roman" w:hAnsi="Times New Roman" w:cs="Times New Roman"/>
          <w:b/>
          <w:bCs/>
          <w:color w:val="000000"/>
          <w:sz w:val="26"/>
          <w:szCs w:val="26"/>
          <w:lang w:eastAsia="lv-LV"/>
        </w:rPr>
        <w:t>sākotnējās ietekmes novērtējuma ziņojums (anotācija)</w:t>
      </w:r>
    </w:p>
    <w:p w14:paraId="788FC3DB" w14:textId="77777777" w:rsidR="00845998" w:rsidRPr="00845998" w:rsidRDefault="00845998" w:rsidP="00845998">
      <w:pPr>
        <w:spacing w:after="0" w:line="240" w:lineRule="auto"/>
        <w:jc w:val="center"/>
        <w:rPr>
          <w:rFonts w:ascii="Times New Roman" w:hAnsi="Times New Roman" w:cs="Times New Roman"/>
          <w:b/>
          <w:bCs/>
          <w:color w:val="000000"/>
          <w:sz w:val="26"/>
          <w:szCs w:val="26"/>
          <w:lang w:eastAsia="lv-LV"/>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1"/>
        <w:gridCol w:w="5557"/>
      </w:tblGrid>
      <w:tr w:rsidR="00CB09B4" w:rsidRPr="001644F2" w14:paraId="66695CAE" w14:textId="77777777" w:rsidTr="00D21912">
        <w:tc>
          <w:tcPr>
            <w:tcW w:w="9498" w:type="dxa"/>
            <w:gridSpan w:val="2"/>
            <w:vAlign w:val="center"/>
          </w:tcPr>
          <w:p w14:paraId="563C67DD" w14:textId="77777777" w:rsidR="00CB09B4" w:rsidRPr="00D60294" w:rsidRDefault="00CB09B4" w:rsidP="00476521">
            <w:pPr>
              <w:jc w:val="center"/>
              <w:rPr>
                <w:rFonts w:ascii="Times New Roman" w:hAnsi="Times New Roman" w:cs="Times New Roman"/>
                <w:b/>
                <w:bCs/>
                <w:sz w:val="24"/>
                <w:szCs w:val="24"/>
              </w:rPr>
            </w:pPr>
            <w:r w:rsidRPr="00D60294">
              <w:rPr>
                <w:rFonts w:ascii="Times New Roman" w:hAnsi="Times New Roman" w:cs="Times New Roman"/>
                <w:sz w:val="24"/>
                <w:szCs w:val="24"/>
              </w:rPr>
              <w:tab/>
            </w:r>
            <w:r w:rsidRPr="00D60294">
              <w:rPr>
                <w:rFonts w:ascii="Times New Roman" w:hAnsi="Times New Roman" w:cs="Times New Roman"/>
                <w:b/>
                <w:bCs/>
                <w:sz w:val="24"/>
                <w:szCs w:val="24"/>
                <w:lang w:val="sv-SE"/>
              </w:rPr>
              <w:t>Tiesību akta projekta anotācijas kopsavilkums</w:t>
            </w:r>
          </w:p>
        </w:tc>
      </w:tr>
      <w:tr w:rsidR="00CB09B4" w:rsidRPr="009571C7" w14:paraId="5D3AA1F5" w14:textId="77777777" w:rsidTr="00D21912">
        <w:trPr>
          <w:trHeight w:val="1050"/>
        </w:trPr>
        <w:tc>
          <w:tcPr>
            <w:tcW w:w="3941" w:type="dxa"/>
          </w:tcPr>
          <w:p w14:paraId="332797B3" w14:textId="77777777" w:rsidR="00CB09B4" w:rsidRPr="00D60294" w:rsidRDefault="00CB09B4" w:rsidP="00476521">
            <w:pPr>
              <w:spacing w:after="0"/>
              <w:jc w:val="both"/>
              <w:rPr>
                <w:rFonts w:ascii="Times New Roman" w:eastAsia="Times New Roman" w:hAnsi="Times New Roman" w:cs="Times New Roman"/>
                <w:color w:val="000000"/>
                <w:sz w:val="24"/>
                <w:szCs w:val="24"/>
              </w:rPr>
            </w:pPr>
            <w:r w:rsidRPr="00D60294">
              <w:rPr>
                <w:rFonts w:ascii="Times New Roman" w:eastAsia="Times New Roman" w:hAnsi="Times New Roman" w:cs="Times New Roman"/>
                <w:color w:val="000000"/>
                <w:sz w:val="24"/>
                <w:szCs w:val="24"/>
              </w:rPr>
              <w:t xml:space="preserve">Mērķis, risinājums un projekta spēkā stāšanās laiks </w:t>
            </w:r>
          </w:p>
          <w:p w14:paraId="73155F6B" w14:textId="20A348AB" w:rsidR="00D60294" w:rsidRPr="00D60294" w:rsidRDefault="00D60294" w:rsidP="00476521">
            <w:pPr>
              <w:spacing w:after="0"/>
              <w:jc w:val="both"/>
              <w:rPr>
                <w:rFonts w:ascii="Times New Roman" w:eastAsia="Times New Roman" w:hAnsi="Times New Roman" w:cs="Times New Roman"/>
                <w:color w:val="000000"/>
                <w:sz w:val="24"/>
                <w:szCs w:val="24"/>
              </w:rPr>
            </w:pPr>
          </w:p>
        </w:tc>
        <w:tc>
          <w:tcPr>
            <w:tcW w:w="5557" w:type="dxa"/>
          </w:tcPr>
          <w:p w14:paraId="436A39DD" w14:textId="54531417" w:rsidR="00CB09B4" w:rsidRPr="00D60294" w:rsidRDefault="00D60294" w:rsidP="009571C7">
            <w:pPr>
              <w:spacing w:after="0" w:line="240" w:lineRule="auto"/>
              <w:ind w:left="40"/>
              <w:jc w:val="both"/>
              <w:rPr>
                <w:rFonts w:ascii="Times New Roman" w:eastAsia="Times New Roman" w:hAnsi="Times New Roman" w:cs="Times New Roman"/>
                <w:color w:val="000000"/>
                <w:sz w:val="24"/>
                <w:szCs w:val="24"/>
              </w:rPr>
            </w:pPr>
            <w:bookmarkStart w:id="0" w:name="_Hlk512244612"/>
            <w:r w:rsidRPr="00D60294">
              <w:rPr>
                <w:rFonts w:ascii="Times New Roman" w:hAnsi="Times New Roman" w:cs="Times New Roman"/>
                <w:sz w:val="24"/>
                <w:szCs w:val="24"/>
              </w:rPr>
              <w:t>Nav attiecināms atbilstoši Ministru kabineta 2009.</w:t>
            </w:r>
            <w:r w:rsidR="009C63C4">
              <w:rPr>
                <w:rFonts w:ascii="Times New Roman" w:hAnsi="Times New Roman" w:cs="Times New Roman"/>
                <w:sz w:val="24"/>
                <w:szCs w:val="24"/>
              </w:rPr>
              <w:t> </w:t>
            </w:r>
            <w:r w:rsidRPr="00D60294">
              <w:rPr>
                <w:rFonts w:ascii="Times New Roman" w:hAnsi="Times New Roman" w:cs="Times New Roman"/>
                <w:sz w:val="24"/>
                <w:szCs w:val="24"/>
              </w:rPr>
              <w:t>gada 15.</w:t>
            </w:r>
            <w:r w:rsidR="009C63C4">
              <w:rPr>
                <w:rFonts w:ascii="Times New Roman" w:hAnsi="Times New Roman" w:cs="Times New Roman"/>
                <w:sz w:val="24"/>
                <w:szCs w:val="24"/>
              </w:rPr>
              <w:t> </w:t>
            </w:r>
            <w:r w:rsidRPr="00D60294">
              <w:rPr>
                <w:rFonts w:ascii="Times New Roman" w:hAnsi="Times New Roman" w:cs="Times New Roman"/>
                <w:sz w:val="24"/>
                <w:szCs w:val="24"/>
              </w:rPr>
              <w:t>decembra instrukcijas Nr.</w:t>
            </w:r>
            <w:r w:rsidR="009C63C4">
              <w:rPr>
                <w:rFonts w:ascii="Times New Roman" w:hAnsi="Times New Roman" w:cs="Times New Roman"/>
                <w:sz w:val="24"/>
                <w:szCs w:val="24"/>
              </w:rPr>
              <w:t> </w:t>
            </w:r>
            <w:r w:rsidRPr="00D60294">
              <w:rPr>
                <w:rFonts w:ascii="Times New Roman" w:hAnsi="Times New Roman" w:cs="Times New Roman"/>
                <w:sz w:val="24"/>
                <w:szCs w:val="24"/>
              </w:rPr>
              <w:t>19 “Tiesību akta projekta sākotnējās ietekmes izvērtēšanas kārtība” 5.</w:t>
            </w:r>
            <w:r w:rsidRPr="00D60294">
              <w:rPr>
                <w:rFonts w:ascii="Times New Roman" w:hAnsi="Times New Roman" w:cs="Times New Roman"/>
                <w:sz w:val="24"/>
                <w:szCs w:val="24"/>
                <w:vertAlign w:val="superscript"/>
              </w:rPr>
              <w:t>1</w:t>
            </w:r>
            <w:r w:rsidR="009C63C4">
              <w:rPr>
                <w:rFonts w:ascii="Times New Roman" w:hAnsi="Times New Roman" w:cs="Times New Roman"/>
                <w:sz w:val="24"/>
                <w:szCs w:val="24"/>
                <w:vertAlign w:val="superscript"/>
              </w:rPr>
              <w:t> </w:t>
            </w:r>
            <w:r w:rsidRPr="00D60294">
              <w:rPr>
                <w:rFonts w:ascii="Times New Roman" w:hAnsi="Times New Roman" w:cs="Times New Roman"/>
                <w:sz w:val="24"/>
                <w:szCs w:val="24"/>
                <w:vertAlign w:val="superscript"/>
              </w:rPr>
              <w:t xml:space="preserve"> </w:t>
            </w:r>
            <w:r w:rsidRPr="00D60294">
              <w:rPr>
                <w:rFonts w:ascii="Times New Roman" w:hAnsi="Times New Roman" w:cs="Times New Roman"/>
                <w:sz w:val="24"/>
                <w:szCs w:val="24"/>
              </w:rPr>
              <w:t>punktam.</w:t>
            </w:r>
            <w:bookmarkEnd w:id="0"/>
          </w:p>
        </w:tc>
      </w:tr>
    </w:tbl>
    <w:p w14:paraId="2D642991" w14:textId="77777777" w:rsidR="00CB09B4" w:rsidRPr="009571C7" w:rsidRDefault="00CB09B4" w:rsidP="00495B8E">
      <w:pPr>
        <w:spacing w:after="0" w:line="240" w:lineRule="auto"/>
        <w:jc w:val="center"/>
        <w:rPr>
          <w:rFonts w:ascii="Times New Roman" w:eastAsia="Times New Roman" w:hAnsi="Times New Roman" w:cs="Times New Roman"/>
          <w:color w:val="000000"/>
          <w:sz w:val="24"/>
          <w:szCs w:val="24"/>
        </w:rPr>
      </w:pPr>
    </w:p>
    <w:tbl>
      <w:tblPr>
        <w:tblW w:w="9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9"/>
        <w:gridCol w:w="2807"/>
        <w:gridCol w:w="5788"/>
      </w:tblGrid>
      <w:tr w:rsidR="00CB09B4" w:rsidRPr="0014329A" w14:paraId="4588EF03" w14:textId="77777777" w:rsidTr="00FF521A">
        <w:trPr>
          <w:trHeight w:val="419"/>
        </w:trPr>
        <w:tc>
          <w:tcPr>
            <w:tcW w:w="9464" w:type="dxa"/>
            <w:gridSpan w:val="3"/>
          </w:tcPr>
          <w:p w14:paraId="769B7949" w14:textId="77777777" w:rsidR="00CB09B4" w:rsidRPr="00E82963" w:rsidRDefault="00CB09B4" w:rsidP="00902734">
            <w:pPr>
              <w:spacing w:after="0" w:line="240" w:lineRule="auto"/>
              <w:ind w:left="57" w:right="57"/>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I. Tiesību akta projekta izstrādes nepieciešamība</w:t>
            </w:r>
          </w:p>
        </w:tc>
      </w:tr>
      <w:tr w:rsidR="00CB09B4" w:rsidRPr="0014329A" w14:paraId="7AB69CE9" w14:textId="77777777" w:rsidTr="00F74A3F">
        <w:trPr>
          <w:trHeight w:val="415"/>
        </w:trPr>
        <w:tc>
          <w:tcPr>
            <w:tcW w:w="869" w:type="dxa"/>
          </w:tcPr>
          <w:p w14:paraId="31462BEB"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807" w:type="dxa"/>
          </w:tcPr>
          <w:p w14:paraId="6C0FAA70"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Pamatojums</w:t>
            </w:r>
          </w:p>
        </w:tc>
        <w:tc>
          <w:tcPr>
            <w:tcW w:w="5788" w:type="dxa"/>
          </w:tcPr>
          <w:p w14:paraId="6CE2A5A8" w14:textId="2D75DD0E" w:rsidR="00CB09B4" w:rsidRDefault="00F702B9" w:rsidP="00566841">
            <w:pPr>
              <w:spacing w:after="0" w:line="240" w:lineRule="auto"/>
              <w:ind w:left="74" w:right="108"/>
              <w:jc w:val="both"/>
              <w:rPr>
                <w:rFonts w:ascii="Times New Roman" w:hAnsi="Times New Roman"/>
                <w:color w:val="000000"/>
                <w:sz w:val="24"/>
                <w:szCs w:val="24"/>
              </w:rPr>
            </w:pPr>
            <w:r w:rsidRPr="00F702B9">
              <w:rPr>
                <w:rFonts w:ascii="Times New Roman" w:hAnsi="Times New Roman"/>
                <w:color w:val="000000"/>
                <w:sz w:val="24"/>
                <w:szCs w:val="24"/>
              </w:rPr>
              <w:t>Satiksmes ministrijas</w:t>
            </w:r>
            <w:r w:rsidR="00845998">
              <w:rPr>
                <w:rFonts w:ascii="Times New Roman" w:hAnsi="Times New Roman"/>
                <w:color w:val="000000"/>
                <w:sz w:val="24"/>
                <w:szCs w:val="24"/>
              </w:rPr>
              <w:t xml:space="preserve"> un </w:t>
            </w:r>
            <w:r w:rsidR="00F0605D">
              <w:rPr>
                <w:rFonts w:ascii="Times New Roman" w:hAnsi="Times New Roman"/>
                <w:color w:val="000000"/>
                <w:sz w:val="24"/>
                <w:szCs w:val="24"/>
              </w:rPr>
              <w:t xml:space="preserve"> VSIA “Autotransporta direkcija” </w:t>
            </w:r>
            <w:r w:rsidR="00D60294">
              <w:rPr>
                <w:rFonts w:ascii="Times New Roman" w:hAnsi="Times New Roman"/>
                <w:color w:val="000000"/>
                <w:sz w:val="24"/>
                <w:szCs w:val="24"/>
              </w:rPr>
              <w:t>iniciatīva.</w:t>
            </w:r>
          </w:p>
          <w:p w14:paraId="1E59EBC5" w14:textId="61614D62" w:rsidR="00D60294" w:rsidRPr="005D331C" w:rsidRDefault="00D60294" w:rsidP="00566841">
            <w:pPr>
              <w:spacing w:after="0" w:line="240" w:lineRule="auto"/>
              <w:ind w:left="74" w:right="108"/>
              <w:jc w:val="both"/>
              <w:rPr>
                <w:rFonts w:ascii="Times New Roman" w:hAnsi="Times New Roman" w:cs="Times New Roman"/>
                <w:color w:val="000000"/>
                <w:sz w:val="24"/>
                <w:szCs w:val="24"/>
              </w:rPr>
            </w:pPr>
          </w:p>
        </w:tc>
      </w:tr>
      <w:tr w:rsidR="00F0605D" w:rsidRPr="00F702B9" w14:paraId="00F77D42" w14:textId="77777777" w:rsidTr="001E2DA2">
        <w:trPr>
          <w:trHeight w:val="1975"/>
        </w:trPr>
        <w:tc>
          <w:tcPr>
            <w:tcW w:w="869" w:type="dxa"/>
          </w:tcPr>
          <w:p w14:paraId="4AAE8743" w14:textId="77777777" w:rsidR="00F0605D" w:rsidRPr="00877FAD" w:rsidRDefault="00F0605D" w:rsidP="00F0605D">
            <w:pPr>
              <w:spacing w:after="0" w:line="240" w:lineRule="auto"/>
              <w:ind w:left="57" w:right="57"/>
              <w:jc w:val="both"/>
              <w:rPr>
                <w:rFonts w:ascii="Times New Roman" w:hAnsi="Times New Roman" w:cs="Times New Roman"/>
                <w:sz w:val="24"/>
                <w:szCs w:val="24"/>
                <w:lang w:eastAsia="lv-LV"/>
              </w:rPr>
            </w:pPr>
            <w:bookmarkStart w:id="1" w:name="_Hlk64983895"/>
            <w:r w:rsidRPr="005758A3">
              <w:rPr>
                <w:rFonts w:ascii="Times New Roman" w:hAnsi="Times New Roman" w:cs="Times New Roman"/>
                <w:color w:val="000000"/>
                <w:sz w:val="24"/>
                <w:szCs w:val="24"/>
                <w:lang w:eastAsia="lv-LV"/>
              </w:rPr>
              <w:t>2.</w:t>
            </w:r>
          </w:p>
          <w:p w14:paraId="2487EF7B" w14:textId="77777777" w:rsidR="00F0605D" w:rsidRPr="00877FAD" w:rsidRDefault="00F0605D" w:rsidP="00F0605D">
            <w:pPr>
              <w:rPr>
                <w:rFonts w:ascii="Times New Roman" w:hAnsi="Times New Roman" w:cs="Times New Roman"/>
                <w:sz w:val="24"/>
                <w:szCs w:val="24"/>
                <w:lang w:eastAsia="lv-LV"/>
              </w:rPr>
            </w:pPr>
          </w:p>
          <w:p w14:paraId="0DFB08DE" w14:textId="77777777" w:rsidR="00F0605D" w:rsidRPr="00877FAD" w:rsidRDefault="00F0605D" w:rsidP="00F0605D">
            <w:pPr>
              <w:rPr>
                <w:rFonts w:ascii="Times New Roman" w:hAnsi="Times New Roman" w:cs="Times New Roman"/>
                <w:sz w:val="24"/>
                <w:szCs w:val="24"/>
                <w:lang w:eastAsia="lv-LV"/>
              </w:rPr>
            </w:pPr>
          </w:p>
        </w:tc>
        <w:tc>
          <w:tcPr>
            <w:tcW w:w="2807" w:type="dxa"/>
          </w:tcPr>
          <w:p w14:paraId="728FF58D" w14:textId="77777777" w:rsidR="00F0605D" w:rsidRDefault="00F0605D" w:rsidP="00F0605D">
            <w:pPr>
              <w:tabs>
                <w:tab w:val="left" w:pos="170"/>
              </w:tabs>
              <w:spacing w:after="0" w:line="240" w:lineRule="auto"/>
              <w:ind w:left="57" w:right="57"/>
              <w:jc w:val="both"/>
              <w:rPr>
                <w:rFonts w:ascii="Times New Roman" w:hAnsi="Times New Roman" w:cs="Times New Roman"/>
                <w:color w:val="000000"/>
                <w:sz w:val="24"/>
                <w:szCs w:val="24"/>
                <w:lang w:eastAsia="lv-LV"/>
              </w:rPr>
            </w:pPr>
            <w:r w:rsidRPr="005758A3">
              <w:rPr>
                <w:rFonts w:ascii="Times New Roman" w:hAnsi="Times New Roman" w:cs="Times New Roman"/>
                <w:color w:val="000000"/>
                <w:sz w:val="24"/>
                <w:szCs w:val="24"/>
                <w:lang w:eastAsia="lv-LV"/>
              </w:rPr>
              <w:t>Pašreizējā situācija un problēmas, kuru risināšanai tiesību akta projekts izstrādāts, tiesiskā regulējuma mērķis un būtība</w:t>
            </w:r>
          </w:p>
          <w:p w14:paraId="17CC1850" w14:textId="77777777" w:rsidR="00F0605D" w:rsidRPr="001B3319" w:rsidRDefault="00F0605D" w:rsidP="00F0605D">
            <w:pPr>
              <w:rPr>
                <w:rFonts w:ascii="Times New Roman" w:hAnsi="Times New Roman" w:cs="Times New Roman"/>
                <w:sz w:val="24"/>
                <w:szCs w:val="24"/>
                <w:lang w:eastAsia="lv-LV"/>
              </w:rPr>
            </w:pPr>
          </w:p>
          <w:p w14:paraId="0BCD72BB" w14:textId="77777777" w:rsidR="00F0605D" w:rsidRPr="001B3319" w:rsidRDefault="00F0605D" w:rsidP="00F0605D">
            <w:pPr>
              <w:rPr>
                <w:rFonts w:ascii="Times New Roman" w:hAnsi="Times New Roman" w:cs="Times New Roman"/>
                <w:sz w:val="24"/>
                <w:szCs w:val="24"/>
                <w:lang w:eastAsia="lv-LV"/>
              </w:rPr>
            </w:pPr>
          </w:p>
          <w:p w14:paraId="63B73637" w14:textId="77777777" w:rsidR="00F0605D" w:rsidRPr="001B3319" w:rsidRDefault="00F0605D" w:rsidP="00F0605D">
            <w:pPr>
              <w:rPr>
                <w:rFonts w:ascii="Times New Roman" w:hAnsi="Times New Roman" w:cs="Times New Roman"/>
                <w:sz w:val="24"/>
                <w:szCs w:val="24"/>
                <w:lang w:eastAsia="lv-LV"/>
              </w:rPr>
            </w:pPr>
          </w:p>
          <w:p w14:paraId="06A7C45C" w14:textId="77777777" w:rsidR="00F0605D" w:rsidRPr="001B3319" w:rsidRDefault="00F0605D" w:rsidP="00F0605D">
            <w:pPr>
              <w:rPr>
                <w:rFonts w:ascii="Times New Roman" w:hAnsi="Times New Roman" w:cs="Times New Roman"/>
                <w:sz w:val="24"/>
                <w:szCs w:val="24"/>
                <w:lang w:eastAsia="lv-LV"/>
              </w:rPr>
            </w:pPr>
          </w:p>
          <w:p w14:paraId="6D24B1DF" w14:textId="77777777" w:rsidR="00F0605D" w:rsidRPr="001B3319" w:rsidRDefault="00F0605D" w:rsidP="00F0605D">
            <w:pPr>
              <w:rPr>
                <w:rFonts w:ascii="Times New Roman" w:hAnsi="Times New Roman" w:cs="Times New Roman"/>
                <w:sz w:val="24"/>
                <w:szCs w:val="24"/>
                <w:lang w:eastAsia="lv-LV"/>
              </w:rPr>
            </w:pPr>
          </w:p>
          <w:p w14:paraId="33C8978C" w14:textId="77777777" w:rsidR="00F0605D" w:rsidRPr="001B3319" w:rsidRDefault="00F0605D" w:rsidP="00F0605D">
            <w:pPr>
              <w:rPr>
                <w:rFonts w:ascii="Times New Roman" w:hAnsi="Times New Roman" w:cs="Times New Roman"/>
                <w:sz w:val="24"/>
                <w:szCs w:val="24"/>
                <w:lang w:eastAsia="lv-LV"/>
              </w:rPr>
            </w:pPr>
          </w:p>
          <w:p w14:paraId="316AA01D" w14:textId="77777777" w:rsidR="00F0605D" w:rsidRPr="001B3319" w:rsidRDefault="00F0605D" w:rsidP="00F0605D">
            <w:pPr>
              <w:rPr>
                <w:rFonts w:ascii="Times New Roman" w:hAnsi="Times New Roman" w:cs="Times New Roman"/>
                <w:sz w:val="24"/>
                <w:szCs w:val="24"/>
                <w:lang w:eastAsia="lv-LV"/>
              </w:rPr>
            </w:pPr>
          </w:p>
          <w:p w14:paraId="628D5299" w14:textId="77777777" w:rsidR="00F0605D" w:rsidRPr="001B3319" w:rsidRDefault="00F0605D" w:rsidP="00F0605D">
            <w:pPr>
              <w:rPr>
                <w:rFonts w:ascii="Times New Roman" w:hAnsi="Times New Roman" w:cs="Times New Roman"/>
                <w:sz w:val="24"/>
                <w:szCs w:val="24"/>
                <w:lang w:eastAsia="lv-LV"/>
              </w:rPr>
            </w:pPr>
          </w:p>
          <w:p w14:paraId="62A69E28" w14:textId="77777777" w:rsidR="00F0605D" w:rsidRPr="001B3319" w:rsidRDefault="00F0605D" w:rsidP="00F0605D">
            <w:pPr>
              <w:rPr>
                <w:rFonts w:ascii="Times New Roman" w:hAnsi="Times New Roman" w:cs="Times New Roman"/>
                <w:sz w:val="24"/>
                <w:szCs w:val="24"/>
                <w:lang w:eastAsia="lv-LV"/>
              </w:rPr>
            </w:pPr>
          </w:p>
          <w:p w14:paraId="2D0E57EC" w14:textId="77777777" w:rsidR="00F0605D" w:rsidRPr="001B3319" w:rsidRDefault="00F0605D" w:rsidP="00F0605D">
            <w:pPr>
              <w:rPr>
                <w:rFonts w:ascii="Times New Roman" w:hAnsi="Times New Roman" w:cs="Times New Roman"/>
                <w:sz w:val="24"/>
                <w:szCs w:val="24"/>
                <w:lang w:eastAsia="lv-LV"/>
              </w:rPr>
            </w:pPr>
          </w:p>
          <w:p w14:paraId="1A4FC816" w14:textId="77777777" w:rsidR="00F0605D" w:rsidRPr="001B3319" w:rsidRDefault="00F0605D" w:rsidP="00F0605D">
            <w:pPr>
              <w:rPr>
                <w:rFonts w:ascii="Times New Roman" w:hAnsi="Times New Roman" w:cs="Times New Roman"/>
                <w:sz w:val="24"/>
                <w:szCs w:val="24"/>
                <w:lang w:eastAsia="lv-LV"/>
              </w:rPr>
            </w:pPr>
          </w:p>
          <w:p w14:paraId="01BBB52F" w14:textId="77777777" w:rsidR="00F0605D" w:rsidRPr="001B3319" w:rsidRDefault="00F0605D" w:rsidP="00F0605D">
            <w:pPr>
              <w:rPr>
                <w:rFonts w:ascii="Times New Roman" w:hAnsi="Times New Roman" w:cs="Times New Roman"/>
                <w:sz w:val="24"/>
                <w:szCs w:val="24"/>
                <w:lang w:eastAsia="lv-LV"/>
              </w:rPr>
            </w:pPr>
          </w:p>
          <w:p w14:paraId="1922809A" w14:textId="77777777" w:rsidR="00F0605D" w:rsidRPr="001B3319" w:rsidRDefault="00F0605D" w:rsidP="00F0605D">
            <w:pPr>
              <w:rPr>
                <w:rFonts w:ascii="Times New Roman" w:hAnsi="Times New Roman" w:cs="Times New Roman"/>
                <w:sz w:val="24"/>
                <w:szCs w:val="24"/>
                <w:lang w:eastAsia="lv-LV"/>
              </w:rPr>
            </w:pPr>
          </w:p>
          <w:p w14:paraId="5BAC5416" w14:textId="77777777" w:rsidR="00F0605D" w:rsidRPr="001B3319" w:rsidRDefault="00F0605D" w:rsidP="00F0605D">
            <w:pPr>
              <w:rPr>
                <w:rFonts w:ascii="Times New Roman" w:hAnsi="Times New Roman" w:cs="Times New Roman"/>
                <w:sz w:val="24"/>
                <w:szCs w:val="24"/>
                <w:lang w:eastAsia="lv-LV"/>
              </w:rPr>
            </w:pPr>
          </w:p>
          <w:p w14:paraId="7D22AD0D" w14:textId="77777777" w:rsidR="00F0605D" w:rsidRPr="001B3319" w:rsidRDefault="00F0605D" w:rsidP="00F57E24">
            <w:pPr>
              <w:jc w:val="center"/>
              <w:rPr>
                <w:rFonts w:ascii="Times New Roman" w:hAnsi="Times New Roman" w:cs="Times New Roman"/>
                <w:sz w:val="24"/>
                <w:szCs w:val="24"/>
                <w:lang w:eastAsia="lv-LV"/>
              </w:rPr>
            </w:pPr>
          </w:p>
          <w:p w14:paraId="3655BC7E" w14:textId="77777777" w:rsidR="00F0605D" w:rsidRPr="001B3319" w:rsidRDefault="00F0605D" w:rsidP="00F0605D">
            <w:pPr>
              <w:ind w:firstLine="720"/>
              <w:rPr>
                <w:rFonts w:ascii="Times New Roman" w:hAnsi="Times New Roman" w:cs="Times New Roman"/>
                <w:sz w:val="24"/>
                <w:szCs w:val="24"/>
                <w:lang w:eastAsia="lv-LV"/>
              </w:rPr>
            </w:pPr>
          </w:p>
          <w:p w14:paraId="122CEF7D" w14:textId="77777777" w:rsidR="00F0605D" w:rsidRPr="001B3319" w:rsidRDefault="00F0605D" w:rsidP="00F0605D">
            <w:pPr>
              <w:tabs>
                <w:tab w:val="left" w:pos="930"/>
              </w:tabs>
              <w:rPr>
                <w:rFonts w:ascii="Times New Roman" w:hAnsi="Times New Roman" w:cs="Times New Roman"/>
                <w:sz w:val="24"/>
                <w:szCs w:val="24"/>
                <w:lang w:eastAsia="lv-LV"/>
              </w:rPr>
            </w:pPr>
            <w:r>
              <w:rPr>
                <w:rFonts w:ascii="Times New Roman" w:hAnsi="Times New Roman" w:cs="Times New Roman"/>
                <w:sz w:val="24"/>
                <w:szCs w:val="24"/>
                <w:lang w:eastAsia="lv-LV"/>
              </w:rPr>
              <w:tab/>
            </w:r>
          </w:p>
        </w:tc>
        <w:tc>
          <w:tcPr>
            <w:tcW w:w="5788" w:type="dxa"/>
          </w:tcPr>
          <w:p w14:paraId="4AAD17A5" w14:textId="5E5E5C54" w:rsidR="0080379E" w:rsidRDefault="0080379E" w:rsidP="000E0362">
            <w:pPr>
              <w:spacing w:after="0" w:line="240" w:lineRule="auto"/>
              <w:ind w:right="118"/>
              <w:jc w:val="both"/>
              <w:rPr>
                <w:rFonts w:ascii="Times New Roman" w:hAnsi="Times New Roman" w:cs="Times New Roman"/>
                <w:sz w:val="24"/>
                <w:szCs w:val="24"/>
              </w:rPr>
            </w:pPr>
            <w:r w:rsidRPr="002C4005">
              <w:rPr>
                <w:rFonts w:ascii="Times New Roman" w:hAnsi="Times New Roman" w:cs="Times New Roman"/>
                <w:sz w:val="24"/>
                <w:szCs w:val="24"/>
                <w:lang w:eastAsia="lv-LV"/>
              </w:rPr>
              <w:lastRenderedPageBreak/>
              <w:t>Ministru kabineta grozījumu projekts “</w:t>
            </w:r>
            <w:r w:rsidR="00845998">
              <w:rPr>
                <w:rFonts w:ascii="Times New Roman" w:hAnsi="Times New Roman" w:cs="Times New Roman"/>
                <w:sz w:val="24"/>
                <w:szCs w:val="24"/>
                <w:lang w:eastAsia="lv-LV"/>
              </w:rPr>
              <w:t xml:space="preserve">Komerciālo pārvadājumu noteiktumi” </w:t>
            </w:r>
            <w:r w:rsidRPr="002C4005">
              <w:rPr>
                <w:rFonts w:ascii="Times New Roman" w:hAnsi="Times New Roman" w:cs="Times New Roman"/>
                <w:sz w:val="24"/>
                <w:szCs w:val="24"/>
                <w:lang w:eastAsia="lv-LV"/>
              </w:rPr>
              <w:t xml:space="preserve">(turpmāk – </w:t>
            </w:r>
            <w:r w:rsidR="00845998">
              <w:rPr>
                <w:rFonts w:ascii="Times New Roman" w:hAnsi="Times New Roman" w:cs="Times New Roman"/>
                <w:sz w:val="24"/>
                <w:szCs w:val="24"/>
                <w:lang w:eastAsia="lv-LV"/>
              </w:rPr>
              <w:t xml:space="preserve">Noteikumu </w:t>
            </w:r>
            <w:r w:rsidRPr="002C4005">
              <w:rPr>
                <w:rFonts w:ascii="Times New Roman" w:hAnsi="Times New Roman" w:cs="Times New Roman"/>
                <w:sz w:val="24"/>
                <w:szCs w:val="24"/>
                <w:lang w:eastAsia="lv-LV"/>
              </w:rPr>
              <w:t>projekts) ir izstrādāts, lai ieviestu Sabiedriskā transporta pakalpojumu likuma grozījumus (</w:t>
            </w:r>
            <w:r w:rsidRPr="002C4005">
              <w:rPr>
                <w:rFonts w:ascii="Times New Roman" w:hAnsi="Times New Roman" w:cs="Times New Roman"/>
                <w:sz w:val="24"/>
                <w:szCs w:val="24"/>
              </w:rPr>
              <w:t>Nr.687/Lp13) 8.</w:t>
            </w:r>
            <w:r w:rsidRPr="002C4005">
              <w:rPr>
                <w:rFonts w:ascii="Times New Roman" w:hAnsi="Times New Roman" w:cs="Times New Roman"/>
                <w:sz w:val="24"/>
                <w:szCs w:val="24"/>
                <w:vertAlign w:val="superscript"/>
              </w:rPr>
              <w:t>1</w:t>
            </w:r>
            <w:r w:rsidRPr="002C4005">
              <w:rPr>
                <w:rFonts w:ascii="Times New Roman" w:hAnsi="Times New Roman" w:cs="Times New Roman"/>
                <w:sz w:val="24"/>
                <w:szCs w:val="24"/>
              </w:rPr>
              <w:t xml:space="preserve"> pantā noteikto attiecībā uz komerciālo maršrutu (reisu) izpildes nosacījumus. </w:t>
            </w:r>
          </w:p>
          <w:p w14:paraId="6D70E6E9" w14:textId="7FBA8FF5" w:rsidR="0080379E" w:rsidRPr="002C4005" w:rsidRDefault="00845998" w:rsidP="000E0362">
            <w:pPr>
              <w:spacing w:after="0" w:line="240" w:lineRule="auto"/>
              <w:ind w:right="118"/>
              <w:jc w:val="both"/>
              <w:rPr>
                <w:rFonts w:ascii="Times New Roman" w:hAnsi="Times New Roman" w:cs="Times New Roman"/>
                <w:sz w:val="24"/>
                <w:szCs w:val="24"/>
              </w:rPr>
            </w:pPr>
            <w:r>
              <w:rPr>
                <w:rFonts w:ascii="Times New Roman" w:hAnsi="Times New Roman" w:cs="Times New Roman"/>
                <w:sz w:val="24"/>
                <w:szCs w:val="24"/>
              </w:rPr>
              <w:t>Noteikumu</w:t>
            </w:r>
            <w:r w:rsidR="0080379E" w:rsidRPr="002C4005">
              <w:rPr>
                <w:rFonts w:ascii="Times New Roman" w:hAnsi="Times New Roman" w:cs="Times New Roman"/>
                <w:sz w:val="24"/>
                <w:szCs w:val="24"/>
              </w:rPr>
              <w:t xml:space="preserve"> projekts paredz noteikt:</w:t>
            </w:r>
          </w:p>
          <w:p w14:paraId="1F576DE9" w14:textId="77777777" w:rsidR="0080379E" w:rsidRPr="002C4005"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prasības attiecībā uz pakalpojumu sniegšanai komerciālajos maršrutos (reisos) izmantojamo transportlīdzekļu vecumu un aprīkojumu, pakalpojuma sniegšanu komerciālajā maršrutā (reisā);</w:t>
            </w:r>
          </w:p>
          <w:p w14:paraId="78204175" w14:textId="77777777" w:rsidR="0080379E" w:rsidRPr="002C4005"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prasības attiecībā uz biļešu tirdzniecību komerciālajos maršrutos (reisos);</w:t>
            </w:r>
          </w:p>
          <w:p w14:paraId="087C2017" w14:textId="1DAE3BDA" w:rsidR="0080379E"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maršruta atļaujas saņemšanai iesniedzamā pieteikuma formu un tajā sniedzamās informācijas apjomu</w:t>
            </w:r>
            <w:r>
              <w:rPr>
                <w:rFonts w:ascii="Times New Roman" w:hAnsi="Times New Roman" w:cs="Times New Roman"/>
                <w:sz w:val="24"/>
                <w:szCs w:val="24"/>
              </w:rPr>
              <w:t>.</w:t>
            </w:r>
          </w:p>
          <w:p w14:paraId="403AE4E6" w14:textId="275A2BCB" w:rsidR="00845998" w:rsidRDefault="00845998" w:rsidP="00845998">
            <w:pPr>
              <w:spacing w:after="0" w:line="240" w:lineRule="auto"/>
              <w:ind w:right="118"/>
              <w:jc w:val="both"/>
              <w:rPr>
                <w:rFonts w:ascii="Times New Roman" w:hAnsi="Times New Roman" w:cs="Times New Roman"/>
                <w:sz w:val="24"/>
                <w:szCs w:val="24"/>
              </w:rPr>
            </w:pPr>
            <w:r>
              <w:rPr>
                <w:rFonts w:ascii="Times New Roman" w:hAnsi="Times New Roman" w:cs="Times New Roman"/>
                <w:sz w:val="24"/>
                <w:szCs w:val="24"/>
              </w:rPr>
              <w:t>Noteikumu projekts regulējums ir attiecināms uz iekšzemes reģionālās nozīmes maršrutiem (reisiem) un nav attiecināms starptautisko maršrutu (reisu)</w:t>
            </w:r>
            <w:r w:rsidR="00192FFA">
              <w:rPr>
                <w:rFonts w:ascii="Times New Roman" w:hAnsi="Times New Roman" w:cs="Times New Roman"/>
                <w:sz w:val="24"/>
                <w:szCs w:val="24"/>
              </w:rPr>
              <w:t xml:space="preserve"> pārvadājumu pakalpojumu izpildi. </w:t>
            </w:r>
          </w:p>
          <w:p w14:paraId="494ED66C" w14:textId="77777777" w:rsidR="00FA2E31" w:rsidRPr="00845998" w:rsidRDefault="00FA2E31" w:rsidP="00845998">
            <w:pPr>
              <w:spacing w:after="0" w:line="240" w:lineRule="auto"/>
              <w:ind w:right="118"/>
              <w:jc w:val="both"/>
              <w:rPr>
                <w:rFonts w:ascii="Times New Roman" w:hAnsi="Times New Roman" w:cs="Times New Roman"/>
                <w:sz w:val="24"/>
                <w:szCs w:val="24"/>
              </w:rPr>
            </w:pPr>
          </w:p>
          <w:p w14:paraId="22E5B8F1" w14:textId="364343E0" w:rsidR="001E2DA2" w:rsidRPr="001E2DA2" w:rsidRDefault="001E2DA2" w:rsidP="001E2DA2">
            <w:pPr>
              <w:spacing w:after="0" w:line="240" w:lineRule="auto"/>
              <w:jc w:val="both"/>
              <w:rPr>
                <w:rFonts w:ascii="Times New Roman" w:hAnsi="Times New Roman" w:cs="Times New Roman"/>
                <w:b/>
                <w:bCs/>
                <w:iCs/>
                <w:sz w:val="24"/>
                <w:szCs w:val="24"/>
              </w:rPr>
            </w:pPr>
            <w:r w:rsidRPr="001E2DA2">
              <w:rPr>
                <w:rFonts w:ascii="Times New Roman" w:hAnsi="Times New Roman" w:cs="Times New Roman"/>
                <w:b/>
                <w:bCs/>
                <w:iCs/>
                <w:sz w:val="24"/>
                <w:szCs w:val="24"/>
              </w:rPr>
              <w:t>Par komerciālajiem maršrutiem (reisiem).</w:t>
            </w:r>
          </w:p>
          <w:p w14:paraId="6175F438" w14:textId="6723DC1C" w:rsidR="000B5745" w:rsidRDefault="00976373" w:rsidP="000B5745">
            <w:pPr>
              <w:spacing w:after="0" w:line="240" w:lineRule="auto"/>
              <w:ind w:right="118"/>
              <w:jc w:val="both"/>
              <w:rPr>
                <w:rFonts w:ascii="Times New Roman" w:hAnsi="Times New Roman" w:cs="Times New Roman"/>
                <w:sz w:val="24"/>
                <w:szCs w:val="24"/>
              </w:rPr>
            </w:pPr>
            <w:r w:rsidRPr="00976373">
              <w:rPr>
                <w:rFonts w:ascii="Times New Roman" w:hAnsi="Times New Roman" w:cs="Times New Roman"/>
                <w:sz w:val="24"/>
                <w:szCs w:val="24"/>
              </w:rPr>
              <w:t>Sabiedriskā transporta pakalpojumu likuma (turpmāk- STPL) 8.</w:t>
            </w:r>
            <w:r w:rsidRPr="00976373">
              <w:rPr>
                <w:rFonts w:ascii="Times New Roman" w:hAnsi="Times New Roman" w:cs="Times New Roman"/>
                <w:sz w:val="24"/>
                <w:szCs w:val="24"/>
                <w:vertAlign w:val="superscript"/>
              </w:rPr>
              <w:t xml:space="preserve">1 </w:t>
            </w:r>
            <w:r w:rsidRPr="00976373">
              <w:rPr>
                <w:rFonts w:ascii="Times New Roman" w:hAnsi="Times New Roman" w:cs="Times New Roman"/>
                <w:sz w:val="24"/>
                <w:szCs w:val="24"/>
              </w:rPr>
              <w:t>panta sestā daļa paredz, ka Ministru kabinetam i</w:t>
            </w:r>
            <w:r w:rsidR="000E0362">
              <w:rPr>
                <w:rFonts w:ascii="Times New Roman" w:hAnsi="Times New Roman" w:cs="Times New Roman"/>
                <w:sz w:val="24"/>
                <w:szCs w:val="24"/>
              </w:rPr>
              <w:t>r</w:t>
            </w:r>
            <w:r w:rsidRPr="00976373">
              <w:rPr>
                <w:rFonts w:ascii="Times New Roman" w:hAnsi="Times New Roman" w:cs="Times New Roman"/>
                <w:sz w:val="24"/>
                <w:szCs w:val="24"/>
              </w:rPr>
              <w:t xml:space="preserve"> jānosaka: 1) prasības attiecībā uz pakalpojumu sniegšanai komerciālajos maršrutos (reisos) izmantojamo transportlīdzekļu vecumu un aprīkojumu, pakalpojuma sniegšanu komerciālajā maršrutā (reisā) un biļešu tirdzniecību un 2) Autotransporta direkcijā maršruta atļaujas saņemšanai iesniedzamā pieteikuma formu un tajā sniedzamās informācijas apjomu.</w:t>
            </w:r>
            <w:r w:rsidR="000B5745">
              <w:rPr>
                <w:rFonts w:ascii="Times New Roman" w:hAnsi="Times New Roman" w:cs="Times New Roman"/>
                <w:sz w:val="24"/>
                <w:szCs w:val="24"/>
              </w:rPr>
              <w:t xml:space="preserve"> </w:t>
            </w:r>
          </w:p>
          <w:p w14:paraId="65C00233" w14:textId="12214B2D" w:rsidR="00485663" w:rsidRDefault="00485663" w:rsidP="000B5745">
            <w:pPr>
              <w:spacing w:after="0" w:line="240" w:lineRule="auto"/>
              <w:ind w:right="118"/>
              <w:jc w:val="both"/>
              <w:rPr>
                <w:rFonts w:ascii="Times New Roman" w:hAnsi="Times New Roman" w:cs="Times New Roman"/>
                <w:sz w:val="24"/>
                <w:szCs w:val="24"/>
              </w:rPr>
            </w:pPr>
          </w:p>
          <w:p w14:paraId="224DBF5D" w14:textId="264C4304" w:rsidR="00485663" w:rsidRPr="00FA2E31" w:rsidRDefault="00485663" w:rsidP="000B5745">
            <w:pPr>
              <w:spacing w:after="0" w:line="240" w:lineRule="auto"/>
              <w:ind w:right="118"/>
              <w:jc w:val="both"/>
              <w:rPr>
                <w:rFonts w:ascii="Times New Roman" w:hAnsi="Times New Roman" w:cs="Times New Roman"/>
                <w:b/>
                <w:bCs/>
                <w:sz w:val="24"/>
                <w:szCs w:val="24"/>
              </w:rPr>
            </w:pPr>
            <w:r w:rsidRPr="00FA2E31">
              <w:rPr>
                <w:rFonts w:ascii="Times New Roman" w:hAnsi="Times New Roman" w:cs="Times New Roman"/>
                <w:b/>
                <w:bCs/>
                <w:sz w:val="24"/>
                <w:szCs w:val="24"/>
              </w:rPr>
              <w:t xml:space="preserve">Maršruta atļaujas izsniegšana. </w:t>
            </w:r>
          </w:p>
          <w:p w14:paraId="56B3A700" w14:textId="2C17C7D6" w:rsidR="00FA2E31" w:rsidRPr="00FA2E31" w:rsidRDefault="00FA2E31" w:rsidP="000B5745">
            <w:pPr>
              <w:spacing w:after="0" w:line="240" w:lineRule="auto"/>
              <w:ind w:right="118"/>
              <w:jc w:val="both"/>
              <w:rPr>
                <w:rFonts w:ascii="Times New Roman" w:hAnsi="Times New Roman" w:cs="Times New Roman"/>
                <w:b/>
                <w:bCs/>
                <w:sz w:val="24"/>
                <w:szCs w:val="24"/>
              </w:rPr>
            </w:pPr>
            <w:r w:rsidRPr="00FA2E31">
              <w:rPr>
                <w:rFonts w:ascii="Times New Roman" w:hAnsi="Times New Roman" w:cs="Times New Roman"/>
                <w:sz w:val="24"/>
                <w:szCs w:val="24"/>
              </w:rPr>
              <w:t xml:space="preserve">Maršruta atļauja konkrētā komerciālā maršruta (reisa) apkalpošanai tiek piešķirta ikvienam pārvadātājam, kurš izpilda šajos noteikumos noteiktās prasības attiecībā uz </w:t>
            </w:r>
            <w:r w:rsidRPr="00FA2E31">
              <w:rPr>
                <w:rFonts w:ascii="Times New Roman" w:hAnsi="Times New Roman" w:cs="Times New Roman"/>
                <w:sz w:val="24"/>
                <w:szCs w:val="24"/>
              </w:rPr>
              <w:lastRenderedPageBreak/>
              <w:t>pakalpojuma sniegšanu, transportlīdzekļu vecumu, aprīkojumu un biļešu iegādes iespējām, un kurš atbilst</w:t>
            </w:r>
            <w:r w:rsidRPr="00FA2E31">
              <w:rPr>
                <w:rFonts w:ascii="Times New Roman" w:eastAsiaTheme="minorEastAsia" w:hAnsi="Times New Roman" w:cs="Times New Roman"/>
                <w:sz w:val="24"/>
                <w:szCs w:val="24"/>
                <w:lang w:eastAsia="lv-LV"/>
              </w:rPr>
              <w:t xml:space="preserve"> </w:t>
            </w:r>
            <w:r w:rsidRPr="00FA2E31">
              <w:rPr>
                <w:rFonts w:ascii="Times New Roman" w:eastAsiaTheme="minorEastAsia" w:hAnsi="Times New Roman" w:cs="Times New Roman"/>
                <w:bCs/>
                <w:sz w:val="24"/>
                <w:szCs w:val="24"/>
                <w:lang w:eastAsia="lv-LV"/>
              </w:rPr>
              <w:t>Sabiedriskā transporta pakalpojumu likuma 8.</w:t>
            </w:r>
            <w:r w:rsidRPr="00FA2E31">
              <w:rPr>
                <w:rFonts w:ascii="Times New Roman" w:eastAsiaTheme="minorEastAsia" w:hAnsi="Times New Roman" w:cs="Times New Roman"/>
                <w:bCs/>
                <w:sz w:val="24"/>
                <w:szCs w:val="24"/>
                <w:vertAlign w:val="superscript"/>
                <w:lang w:eastAsia="lv-LV"/>
              </w:rPr>
              <w:t>1</w:t>
            </w:r>
            <w:r w:rsidRPr="00FA2E31">
              <w:rPr>
                <w:rFonts w:ascii="Times New Roman" w:eastAsiaTheme="minorEastAsia" w:hAnsi="Times New Roman" w:cs="Times New Roman"/>
                <w:bCs/>
                <w:sz w:val="24"/>
                <w:szCs w:val="24"/>
                <w:lang w:eastAsia="lv-LV"/>
              </w:rPr>
              <w:t xml:space="preserve">panta trešajā daļā noteiktajām. Pieteikums par maršruta atļaujas saņemšanu tiek izskatīts </w:t>
            </w:r>
            <w:r w:rsidRPr="00FA2E31">
              <w:rPr>
                <w:rFonts w:ascii="Times New Roman" w:eastAsiaTheme="minorEastAsia" w:hAnsi="Times New Roman" w:cs="Times New Roman"/>
                <w:sz w:val="24"/>
                <w:szCs w:val="24"/>
                <w:lang w:eastAsia="lv-LV"/>
              </w:rPr>
              <w:t xml:space="preserve">Administratīvā procesa likumā noteiktajā termiņā. </w:t>
            </w:r>
            <w:r w:rsidRPr="00FA2E31">
              <w:rPr>
                <w:rFonts w:ascii="Times New Roman" w:hAnsi="Times New Roman" w:cs="Times New Roman"/>
                <w:sz w:val="24"/>
                <w:szCs w:val="24"/>
              </w:rPr>
              <w:t>Maršruta atļauju Autotransporta direkcija izsniedz, izdarot ierakstu tās uzturētajā autopārvadātāju informatīvajā datubāzē un nenoformējot atsevišķu rakstveida lēmumu. Vienlaikus informāciju par maršruta atļaujas izsniegšanu un maršruta atļaujas izmantošanas nosacījumiem publicē Autotransporta direkcijas tīmekļvietnē un nosūta uz pārvadātāja iesniegumā norādīto elektroniskā pasta adresi.</w:t>
            </w:r>
          </w:p>
          <w:p w14:paraId="575B3A3E" w14:textId="77777777" w:rsidR="00485663" w:rsidRDefault="00485663" w:rsidP="000B5745">
            <w:pPr>
              <w:spacing w:after="0" w:line="240" w:lineRule="auto"/>
              <w:ind w:right="118"/>
              <w:jc w:val="both"/>
              <w:rPr>
                <w:rFonts w:ascii="Times New Roman" w:hAnsi="Times New Roman" w:cs="Times New Roman"/>
                <w:sz w:val="24"/>
                <w:szCs w:val="24"/>
              </w:rPr>
            </w:pPr>
          </w:p>
          <w:p w14:paraId="37DEBDD7" w14:textId="77777777" w:rsidR="000B5745" w:rsidRPr="000B5745" w:rsidRDefault="000B5745" w:rsidP="000B5745">
            <w:pPr>
              <w:spacing w:after="0" w:line="240" w:lineRule="auto"/>
              <w:ind w:right="118"/>
              <w:jc w:val="both"/>
              <w:rPr>
                <w:rFonts w:ascii="Times New Roman" w:hAnsi="Times New Roman" w:cs="Times New Roman"/>
                <w:b/>
                <w:bCs/>
                <w:sz w:val="24"/>
                <w:szCs w:val="24"/>
              </w:rPr>
            </w:pPr>
            <w:r w:rsidRPr="000B5745">
              <w:rPr>
                <w:rFonts w:ascii="Times New Roman" w:hAnsi="Times New Roman" w:cs="Times New Roman"/>
                <w:b/>
                <w:bCs/>
                <w:sz w:val="24"/>
                <w:szCs w:val="24"/>
              </w:rPr>
              <w:t>Par transportlīdzekļu vecumu un aprīkojumu.</w:t>
            </w:r>
          </w:p>
          <w:p w14:paraId="7C86389E" w14:textId="34286BBF" w:rsidR="002E6522" w:rsidRPr="002E6522" w:rsidRDefault="002E6522" w:rsidP="000B5745">
            <w:pPr>
              <w:spacing w:after="0" w:line="240" w:lineRule="auto"/>
              <w:ind w:right="118"/>
              <w:jc w:val="both"/>
              <w:rPr>
                <w:rFonts w:ascii="Times New Roman" w:hAnsi="Times New Roman" w:cs="Times New Roman"/>
                <w:sz w:val="24"/>
                <w:szCs w:val="24"/>
              </w:rPr>
            </w:pPr>
            <w:r w:rsidRPr="002E6522">
              <w:rPr>
                <w:rFonts w:ascii="Times New Roman" w:eastAsia="Times New Roman" w:hAnsi="Times New Roman" w:cs="Times New Roman"/>
                <w:sz w:val="24"/>
                <w:szCs w:val="24"/>
              </w:rPr>
              <w:t>2019.gada 4.jūnijā tika izskatīts Informatīvs ziņojums “Par reģionālās nozīmes sabiedriskā transporta pakalpojumu attīstību 2021.-2030.gadam” (Ministru kabineta protokola 28.punkts), kurā tika noteikts, ka  2021.gadā reģionālās nozīmes autobusu maršrutus, kas ir paralēli vilcieniem Pierīgā un posmā Rīga - Daugavpils un ar kuriem pēc būtības tiek apkalpotas tās pašas apdzīvotās vietas, paredzēts saglabāt, bet bez valsts dotācijām. Līdz ar to autobusu maršruti savienojumos Rīga–Ogre, Rīga – Salaspils, Rīga-Jelgava, Rīga- Olaine,  Rīga- Jaunķemeri, Rīga- Sloka,  Rīga-Sigulda, Rīga-Daugavpils tiks apkalpoti uz komerciāliem principiem, taču to skaits varētu palielināties, ņemot vērā pieejamos valsts budžeta līdzekļus. Potenciāli  tiek paredzēts, ka komerciālie/valsts nedotētie maršruti varētu tiks veidoti Rīgas savienojumos ar Rēzekni, Liepāju, Ventspili un Bausku.</w:t>
            </w:r>
            <w:r w:rsidRPr="002E6522">
              <w:rPr>
                <w:rFonts w:ascii="Times New Roman" w:eastAsia="Times New Roman" w:hAnsi="Times New Roman" w:cs="Times New Roman"/>
                <w:b/>
                <w:sz w:val="24"/>
                <w:szCs w:val="24"/>
              </w:rPr>
              <w:t xml:space="preserve"> </w:t>
            </w:r>
            <w:r w:rsidRPr="002E6522">
              <w:rPr>
                <w:rFonts w:ascii="Times New Roman" w:eastAsia="Times New Roman" w:hAnsi="Times New Roman" w:cs="Times New Roman"/>
                <w:sz w:val="24"/>
                <w:szCs w:val="24"/>
              </w:rPr>
              <w:t xml:space="preserve">Paredzēts, ka pārvadātāji iegūs tiesības sniegt sabiedriskā transporta pakalpojumus ar autobusiem uz komerciāliem principiem uz trīs gadiem. Ar šo pakalpojumu sniegšanu saistītie zaudējumi un izdevumi būs pārvadātāja pašrisks un tie no valsts vai pašvaldību budžeta netiks kompensēti, taču pārvadātāji būs tiesīgi paši noteikt biļešu cenu, lojalitātes programmas un cita veida atlaides. Pakalpojuma sniegšanas un transportlīdzekļu kvalitātes prasības uz komerciāliem principiem apkalpojamajos maršrutos nosakāmas līdzīgas kā maršrutos, kas savieno republikas nozīmes pilsētas savstarpēji vai republikas nozīmes pilsētas ar reģionālās nozīmes attīstības centriem (A kategorijas savienojumi). </w:t>
            </w:r>
            <w:r w:rsidRPr="00192FFA">
              <w:rPr>
                <w:rFonts w:ascii="Times New Roman" w:eastAsia="Times New Roman" w:hAnsi="Times New Roman" w:cs="Times New Roman"/>
                <w:b/>
                <w:sz w:val="24"/>
                <w:szCs w:val="24"/>
              </w:rPr>
              <w:t>A</w:t>
            </w:r>
            <w:r w:rsidRPr="002E6522">
              <w:rPr>
                <w:rFonts w:ascii="Times New Roman" w:eastAsia="Times New Roman" w:hAnsi="Times New Roman" w:cs="Times New Roman"/>
                <w:b/>
                <w:sz w:val="24"/>
                <w:szCs w:val="24"/>
              </w:rPr>
              <w:t xml:space="preserve"> kategorijas</w:t>
            </w:r>
            <w:r w:rsidRPr="002E6522">
              <w:rPr>
                <w:rFonts w:ascii="Times New Roman" w:eastAsia="Times New Roman" w:hAnsi="Times New Roman" w:cs="Times New Roman"/>
                <w:sz w:val="24"/>
                <w:szCs w:val="24"/>
              </w:rPr>
              <w:t xml:space="preserve"> savienojumi ir maršruti, kas savieno </w:t>
            </w:r>
            <w:proofErr w:type="spellStart"/>
            <w:r w:rsidRPr="002E6522">
              <w:rPr>
                <w:rFonts w:ascii="Times New Roman" w:eastAsia="Times New Roman" w:hAnsi="Times New Roman" w:cs="Times New Roman"/>
                <w:sz w:val="24"/>
                <w:szCs w:val="24"/>
              </w:rPr>
              <w:t>valstspilsētas</w:t>
            </w:r>
            <w:proofErr w:type="spellEnd"/>
            <w:r w:rsidRPr="002E6522">
              <w:rPr>
                <w:rFonts w:ascii="Times New Roman" w:eastAsia="Times New Roman" w:hAnsi="Times New Roman" w:cs="Times New Roman"/>
                <w:sz w:val="24"/>
                <w:szCs w:val="24"/>
              </w:rPr>
              <w:t xml:space="preserve"> savstarpēji vai </w:t>
            </w:r>
            <w:proofErr w:type="spellStart"/>
            <w:r w:rsidRPr="002E6522">
              <w:rPr>
                <w:rFonts w:ascii="Times New Roman" w:eastAsia="Times New Roman" w:hAnsi="Times New Roman" w:cs="Times New Roman"/>
                <w:sz w:val="24"/>
                <w:szCs w:val="24"/>
              </w:rPr>
              <w:t>valstspilsētas</w:t>
            </w:r>
            <w:proofErr w:type="spellEnd"/>
            <w:r w:rsidRPr="002E6522">
              <w:rPr>
                <w:rFonts w:ascii="Times New Roman" w:eastAsia="Times New Roman" w:hAnsi="Times New Roman" w:cs="Times New Roman"/>
                <w:sz w:val="24"/>
                <w:szCs w:val="24"/>
              </w:rPr>
              <w:t xml:space="preserve"> ar reģionālās nozīmes attīstības centriem pa taisnāko ceļu. A kategorijas savienojumos ir noteiktas sekojošas obligātas prasības autobusiem un to aprīkojumiem:</w:t>
            </w:r>
          </w:p>
          <w:p w14:paraId="44370201"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lastRenderedPageBreak/>
              <w:t>1. autobusu vecums K1</w:t>
            </w:r>
            <w:r w:rsidRPr="002E6522">
              <w:rPr>
                <w:rFonts w:ascii="Times New Roman" w:eastAsia="Times New Roman" w:hAnsi="Times New Roman" w:cs="Times New Roman"/>
                <w:sz w:val="24"/>
                <w:szCs w:val="24"/>
                <w:vertAlign w:val="superscript"/>
              </w:rPr>
              <w:footnoteReference w:id="1"/>
            </w:r>
            <w:r w:rsidRPr="002E6522">
              <w:rPr>
                <w:rFonts w:ascii="Times New Roman" w:eastAsia="Times New Roman" w:hAnsi="Times New Roman" w:cs="Times New Roman"/>
                <w:sz w:val="24"/>
                <w:szCs w:val="24"/>
              </w:rPr>
              <w:t>kategorijas autobusiem =&lt; 8 gadi, K2</w:t>
            </w:r>
            <w:r w:rsidRPr="002E6522">
              <w:rPr>
                <w:rFonts w:ascii="Times New Roman" w:eastAsia="Times New Roman" w:hAnsi="Times New Roman" w:cs="Times New Roman"/>
                <w:sz w:val="24"/>
                <w:szCs w:val="24"/>
                <w:vertAlign w:val="superscript"/>
              </w:rPr>
              <w:footnoteReference w:id="2"/>
            </w:r>
            <w:r w:rsidRPr="002E6522">
              <w:rPr>
                <w:rFonts w:ascii="Times New Roman" w:eastAsia="Times New Roman" w:hAnsi="Times New Roman" w:cs="Times New Roman"/>
                <w:sz w:val="24"/>
                <w:szCs w:val="24"/>
              </w:rPr>
              <w:t xml:space="preserve"> kategorijas autobusiem=&lt;12 gadi.</w:t>
            </w:r>
          </w:p>
          <w:p w14:paraId="0D54BCE7"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 xml:space="preserve">2. informācijas paziņošana par pieturvietām ir jāpaziņo </w:t>
            </w:r>
            <w:proofErr w:type="spellStart"/>
            <w:r w:rsidRPr="002E6522">
              <w:rPr>
                <w:rFonts w:ascii="Times New Roman" w:eastAsia="Times New Roman" w:hAnsi="Times New Roman" w:cs="Times New Roman"/>
                <w:sz w:val="24"/>
                <w:szCs w:val="24"/>
              </w:rPr>
              <w:t>audiālā</w:t>
            </w:r>
            <w:proofErr w:type="spellEnd"/>
            <w:r w:rsidRPr="002E6522">
              <w:rPr>
                <w:rFonts w:ascii="Times New Roman" w:eastAsia="Times New Roman" w:hAnsi="Times New Roman" w:cs="Times New Roman"/>
                <w:sz w:val="24"/>
                <w:szCs w:val="24"/>
              </w:rPr>
              <w:t xml:space="preserve"> un vizuālā formātā;</w:t>
            </w:r>
          </w:p>
          <w:p w14:paraId="06DFA9E9"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3. elektroniskā maršruta zīme;</w:t>
            </w:r>
          </w:p>
          <w:p w14:paraId="4D8607C4"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4.bezskaidras naudas norēķini.</w:t>
            </w:r>
          </w:p>
          <w:p w14:paraId="3E0BBAF2" w14:textId="77777777" w:rsidR="00192FFA" w:rsidRDefault="002E6522" w:rsidP="002E6522">
            <w:pPr>
              <w:spacing w:after="160" w:line="259" w:lineRule="auto"/>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 xml:space="preserve">Papildus specifiskas prasības A kategorijas maršrutos ir noteiktas saistībā ar obligāto videonovērošanas veikšanu, datu sniegšanu, bezvada internetu. </w:t>
            </w:r>
          </w:p>
          <w:p w14:paraId="29E4C5EB" w14:textId="3FFA5DB6" w:rsidR="002E6522" w:rsidRDefault="002E6522" w:rsidP="002E6522">
            <w:pPr>
              <w:spacing w:after="160" w:line="259" w:lineRule="auto"/>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 xml:space="preserve">Ņemot vērā minēto ar </w:t>
            </w:r>
            <w:r w:rsidR="00192FFA">
              <w:rPr>
                <w:rFonts w:ascii="Times New Roman" w:eastAsia="Times New Roman" w:hAnsi="Times New Roman" w:cs="Times New Roman"/>
                <w:sz w:val="24"/>
                <w:szCs w:val="24"/>
              </w:rPr>
              <w:t xml:space="preserve">Noteikumu </w:t>
            </w:r>
            <w:r w:rsidRPr="002E6522">
              <w:rPr>
                <w:rFonts w:ascii="Times New Roman" w:eastAsia="Times New Roman" w:hAnsi="Times New Roman" w:cs="Times New Roman"/>
                <w:sz w:val="24"/>
                <w:szCs w:val="24"/>
              </w:rPr>
              <w:t xml:space="preserve">projektu </w:t>
            </w:r>
            <w:r w:rsidR="00192FFA">
              <w:rPr>
                <w:rFonts w:ascii="Times New Roman" w:eastAsia="Times New Roman" w:hAnsi="Times New Roman" w:cs="Times New Roman"/>
                <w:sz w:val="24"/>
                <w:szCs w:val="24"/>
              </w:rPr>
              <w:t xml:space="preserve">kvalitātes kritēriji, kas piemērojami komerciālajos maršrutos (reisos) izmantojamajiem autobusiem ir faktiski pielīdzināti A kategorijas maršrutos noteiktām prasībām. Vienlaikus, ņemot vērā apstākli, ka komerciālajos maršrutos (reisos) pakalpojuma sniedzējs uzņemas visus ar pārvadājumu saistītos riskus un visas ar pakalpojumu sniegšanu saistītās izmaksas, kā arī ņemot vērā autobusu ekspluatācijas īpatnības, atsevišķai autobusu kategorijai tiek noteikts nedaudz zemākas kvalitātes prasības. Proti, Noteikumu projekts nosaka, </w:t>
            </w:r>
            <w:r w:rsidRPr="002E6522">
              <w:rPr>
                <w:rFonts w:ascii="Times New Roman" w:eastAsia="Times New Roman" w:hAnsi="Times New Roman" w:cs="Times New Roman"/>
                <w:sz w:val="24"/>
                <w:szCs w:val="24"/>
              </w:rPr>
              <w:t xml:space="preserve">ka komerciālajos maršrutos (reisos) izmantojamo </w:t>
            </w:r>
            <w:r w:rsidR="00A30AE5">
              <w:rPr>
                <w:rFonts w:ascii="Times New Roman" w:eastAsia="Times New Roman" w:hAnsi="Times New Roman" w:cs="Times New Roman"/>
                <w:sz w:val="24"/>
                <w:szCs w:val="24"/>
              </w:rPr>
              <w:t>M</w:t>
            </w:r>
            <w:r w:rsidR="00192FFA">
              <w:rPr>
                <w:rFonts w:ascii="Times New Roman" w:eastAsia="Times New Roman" w:hAnsi="Times New Roman" w:cs="Times New Roman"/>
                <w:sz w:val="24"/>
                <w:szCs w:val="24"/>
              </w:rPr>
              <w:t>2</w:t>
            </w:r>
            <w:r w:rsidRPr="002E6522">
              <w:rPr>
                <w:rFonts w:ascii="Times New Roman" w:eastAsia="Times New Roman" w:hAnsi="Times New Roman" w:cs="Times New Roman"/>
                <w:sz w:val="24"/>
                <w:szCs w:val="24"/>
              </w:rPr>
              <w:t xml:space="preserve"> kategorijas autobusu vecums katrā maršrut atļaujas gadā nevar pārsniegt </w:t>
            </w:r>
            <w:r w:rsidR="00192FFA">
              <w:rPr>
                <w:rFonts w:ascii="Times New Roman" w:eastAsia="Times New Roman" w:hAnsi="Times New Roman" w:cs="Times New Roman"/>
                <w:sz w:val="24"/>
                <w:szCs w:val="24"/>
              </w:rPr>
              <w:t>8</w:t>
            </w:r>
            <w:r w:rsidRPr="002E6522">
              <w:rPr>
                <w:rFonts w:ascii="Times New Roman" w:eastAsia="Times New Roman" w:hAnsi="Times New Roman" w:cs="Times New Roman"/>
                <w:sz w:val="24"/>
                <w:szCs w:val="24"/>
              </w:rPr>
              <w:t xml:space="preserve"> gadus, savukārt </w:t>
            </w:r>
            <w:r w:rsidR="00A30AE5">
              <w:rPr>
                <w:rFonts w:ascii="Times New Roman" w:eastAsia="Times New Roman" w:hAnsi="Times New Roman" w:cs="Times New Roman"/>
                <w:sz w:val="24"/>
                <w:szCs w:val="24"/>
                <w:shd w:val="clear" w:color="auto" w:fill="FFFFFF"/>
              </w:rPr>
              <w:t>M</w:t>
            </w:r>
            <w:r w:rsidR="00192FFA">
              <w:rPr>
                <w:rFonts w:ascii="Times New Roman" w:eastAsia="Times New Roman" w:hAnsi="Times New Roman" w:cs="Times New Roman"/>
                <w:sz w:val="24"/>
                <w:szCs w:val="24"/>
                <w:shd w:val="clear" w:color="auto" w:fill="FFFFFF"/>
              </w:rPr>
              <w:t>3</w:t>
            </w:r>
            <w:r w:rsidRPr="002E6522">
              <w:rPr>
                <w:rFonts w:ascii="Times New Roman" w:eastAsia="Times New Roman" w:hAnsi="Times New Roman" w:cs="Times New Roman"/>
                <w:sz w:val="24"/>
                <w:szCs w:val="24"/>
                <w:shd w:val="clear" w:color="auto" w:fill="FFFFFF"/>
              </w:rPr>
              <w:t xml:space="preserve"> kategorijas autobusu vecums</w:t>
            </w:r>
            <w:r w:rsidR="00192FFA">
              <w:rPr>
                <w:rFonts w:ascii="Times New Roman" w:eastAsia="Times New Roman" w:hAnsi="Times New Roman" w:cs="Times New Roman"/>
                <w:sz w:val="24"/>
                <w:szCs w:val="24"/>
                <w:shd w:val="clear" w:color="auto" w:fill="FFFFFF"/>
              </w:rPr>
              <w:t>, ņemot vērā minētās kategorijas autobusu ekspluatācijas īpatnības,</w:t>
            </w:r>
            <w:r w:rsidRPr="002E6522">
              <w:rPr>
                <w:rFonts w:ascii="Times New Roman" w:eastAsia="Times New Roman" w:hAnsi="Times New Roman" w:cs="Times New Roman"/>
                <w:sz w:val="24"/>
                <w:szCs w:val="24"/>
                <w:shd w:val="clear" w:color="auto" w:fill="FFFFFF"/>
              </w:rPr>
              <w:t xml:space="preserve"> nevar pārsniegt </w:t>
            </w:r>
            <w:r w:rsidR="00192FFA">
              <w:rPr>
                <w:rFonts w:ascii="Times New Roman" w:eastAsia="Times New Roman" w:hAnsi="Times New Roman" w:cs="Times New Roman"/>
                <w:sz w:val="24"/>
                <w:szCs w:val="24"/>
                <w:shd w:val="clear" w:color="auto" w:fill="FFFFFF"/>
              </w:rPr>
              <w:t>15</w:t>
            </w:r>
            <w:r w:rsidRPr="002E6522">
              <w:rPr>
                <w:rFonts w:ascii="Times New Roman" w:eastAsia="Times New Roman" w:hAnsi="Times New Roman" w:cs="Times New Roman"/>
                <w:sz w:val="24"/>
                <w:szCs w:val="24"/>
                <w:shd w:val="clear" w:color="auto" w:fill="FFFFFF"/>
              </w:rPr>
              <w:t xml:space="preserve"> gadus. Vienlaikus tiek paredzēts, ka autobusā </w:t>
            </w:r>
            <w:r w:rsidRPr="002E6522">
              <w:rPr>
                <w:rFonts w:ascii="Times New Roman" w:eastAsia="Times New Roman" w:hAnsi="Times New Roman" w:cs="Times New Roman"/>
                <w:sz w:val="24"/>
                <w:szCs w:val="24"/>
              </w:rPr>
              <w:t xml:space="preserve">informācija par pieturvietām ir jāpaziņo </w:t>
            </w:r>
            <w:proofErr w:type="spellStart"/>
            <w:r w:rsidRPr="002E6522">
              <w:rPr>
                <w:rFonts w:ascii="Times New Roman" w:eastAsia="Times New Roman" w:hAnsi="Times New Roman" w:cs="Times New Roman"/>
                <w:sz w:val="24"/>
                <w:szCs w:val="24"/>
              </w:rPr>
              <w:t>audiālā</w:t>
            </w:r>
            <w:proofErr w:type="spellEnd"/>
            <w:r w:rsidRPr="002E6522">
              <w:rPr>
                <w:rFonts w:ascii="Times New Roman" w:eastAsia="Times New Roman" w:hAnsi="Times New Roman" w:cs="Times New Roman"/>
                <w:sz w:val="24"/>
                <w:szCs w:val="24"/>
              </w:rPr>
              <w:t xml:space="preserve"> un vizuālā formātā un, ka autobusos pasažierim jābūt iespējas norēķināties par braucienu ar bezskaidras naudas norēķiniem.  </w:t>
            </w:r>
          </w:p>
          <w:p w14:paraId="7F44E550" w14:textId="023F5116" w:rsidR="004E1D8A" w:rsidRDefault="000C2DDD" w:rsidP="00996271">
            <w:pPr>
              <w:spacing w:after="160" w:line="240" w:lineRule="auto"/>
              <w:jc w:val="both"/>
              <w:rPr>
                <w:rFonts w:ascii="Times New Roman" w:hAnsi="Times New Roman" w:cs="Times New Roman"/>
                <w:sz w:val="24"/>
                <w:szCs w:val="24"/>
              </w:rPr>
            </w:pPr>
            <w:r w:rsidRPr="001551A7">
              <w:rPr>
                <w:rFonts w:ascii="Times New Roman" w:eastAsia="Times New Roman" w:hAnsi="Times New Roman" w:cs="Times New Roman"/>
                <w:b/>
                <w:bCs/>
                <w:sz w:val="24"/>
                <w:szCs w:val="24"/>
              </w:rPr>
              <w:t xml:space="preserve">Par biļešu tirdzniecību. </w:t>
            </w:r>
            <w:bookmarkStart w:id="2" w:name="_Hlk64974424"/>
            <w:r w:rsidR="004E1D8A" w:rsidRPr="001551A7">
              <w:rPr>
                <w:rFonts w:ascii="Times New Roman" w:hAnsi="Times New Roman" w:cs="Times New Roman"/>
                <w:sz w:val="24"/>
                <w:szCs w:val="24"/>
                <w:shd w:val="clear" w:color="auto" w:fill="FFFFFF"/>
              </w:rPr>
              <w:t xml:space="preserve">Komerciālajos maršrutos (reisos) </w:t>
            </w:r>
            <w:bookmarkEnd w:id="2"/>
            <w:r w:rsidR="004E1D8A" w:rsidRPr="001551A7">
              <w:rPr>
                <w:rFonts w:ascii="Times New Roman" w:hAnsi="Times New Roman" w:cs="Times New Roman"/>
                <w:sz w:val="24"/>
                <w:szCs w:val="24"/>
                <w:shd w:val="clear" w:color="auto" w:fill="FFFFFF"/>
              </w:rPr>
              <w:t>b</w:t>
            </w:r>
            <w:r w:rsidR="004E1D8A" w:rsidRPr="001551A7">
              <w:rPr>
                <w:rFonts w:ascii="Times New Roman" w:hAnsi="Times New Roman" w:cs="Times New Roman"/>
                <w:sz w:val="24"/>
                <w:szCs w:val="24"/>
              </w:rPr>
              <w:t>iļeti pasažierim pārdod saskaņā ar pārvadātāja apstiprinātiem tarifiem, pārvadātājs ir administratīvi un ekonomiski neatkarīgs, nosakot pakalpojuma tarifu.</w:t>
            </w:r>
            <w:r w:rsidR="004E1D8A" w:rsidRPr="001551A7">
              <w:rPr>
                <w:rFonts w:ascii="Times New Roman" w:hAnsi="Times New Roman" w:cs="Times New Roman"/>
                <w:bCs/>
                <w:sz w:val="24"/>
                <w:szCs w:val="24"/>
              </w:rPr>
              <w:t xml:space="preserve"> Pārvadātājs </w:t>
            </w:r>
            <w:r w:rsidR="004E1D8A" w:rsidRPr="001551A7">
              <w:rPr>
                <w:rFonts w:ascii="Times New Roman" w:hAnsi="Times New Roman" w:cs="Times New Roman"/>
                <w:sz w:val="24"/>
                <w:szCs w:val="24"/>
                <w:shd w:val="clear" w:color="auto" w:fill="FFFFFF"/>
              </w:rPr>
              <w:t xml:space="preserve">komerciālajos maršrutos (reisos) </w:t>
            </w:r>
            <w:r w:rsidR="004E1D8A" w:rsidRPr="001551A7">
              <w:rPr>
                <w:rFonts w:ascii="Times New Roman" w:hAnsi="Times New Roman" w:cs="Times New Roman"/>
                <w:bCs/>
                <w:sz w:val="24"/>
                <w:szCs w:val="24"/>
              </w:rPr>
              <w:t>būs tiesīgs noteikt lojalitātes programmas, atlaides un citus speciālos piedāvājumus. Vienlaikus tiek paredzēts, ka autobusos pasažieriem ir jābūt iespējai iegādāties biļeti (samaksāt par braucienu)</w:t>
            </w:r>
            <w:r w:rsidR="001551A7" w:rsidRPr="001551A7">
              <w:rPr>
                <w:rFonts w:ascii="Times New Roman" w:hAnsi="Times New Roman" w:cs="Times New Roman"/>
                <w:bCs/>
                <w:sz w:val="24"/>
                <w:szCs w:val="24"/>
              </w:rPr>
              <w:t xml:space="preserve">, izmantojot bezskaidras naudas norēķinus. </w:t>
            </w:r>
            <w:r w:rsidR="001551A7">
              <w:rPr>
                <w:rFonts w:ascii="Times New Roman" w:hAnsi="Times New Roman" w:cs="Times New Roman"/>
                <w:bCs/>
                <w:sz w:val="24"/>
                <w:szCs w:val="24"/>
              </w:rPr>
              <w:t xml:space="preserve">Uz nepieciešamību stimulēt </w:t>
            </w:r>
            <w:r w:rsidR="001551A7" w:rsidRPr="001551A7">
              <w:rPr>
                <w:rFonts w:ascii="Times New Roman" w:hAnsi="Times New Roman" w:cs="Times New Roman"/>
                <w:bCs/>
                <w:sz w:val="24"/>
                <w:szCs w:val="24"/>
              </w:rPr>
              <w:t xml:space="preserve">bezskaidras naudas norēķinus noradīja arī iedzīvotāji. VSIA “Autotransporta direkcija:  veica iedzīvotāju aptauju, kuras rezultātā </w:t>
            </w:r>
            <w:r w:rsidR="001551A7" w:rsidRPr="001551A7">
              <w:rPr>
                <w:rFonts w:ascii="Times New Roman" w:hAnsi="Times New Roman" w:cs="Times New Roman"/>
                <w:sz w:val="24"/>
                <w:szCs w:val="24"/>
              </w:rPr>
              <w:t xml:space="preserve">iedzīvotāji norādīja arī uz nepieciešamību ieviest biļešu iegādes alternatīvas, piemēram, ieviest mēneša biļetes un bezskaidras naudas </w:t>
            </w:r>
            <w:r w:rsidR="001551A7" w:rsidRPr="001551A7">
              <w:rPr>
                <w:rFonts w:ascii="Times New Roman" w:hAnsi="Times New Roman" w:cs="Times New Roman"/>
                <w:sz w:val="24"/>
                <w:szCs w:val="24"/>
              </w:rPr>
              <w:lastRenderedPageBreak/>
              <w:t>norēķinu iespējas. 61% Saldus novada, 59% Ādažu un Madonas novada, 58% Priekules novada, 56% Ogres novada, 54% Rēzeknes novada, 50% Ludzas novada un 44% Pļaviņu novada respondentu vēlētos autobusos redzēt iespēju maksāt ar bankas karti</w:t>
            </w:r>
            <w:r w:rsidR="001551A7">
              <w:rPr>
                <w:rFonts w:ascii="Times New Roman" w:hAnsi="Times New Roman" w:cs="Times New Roman"/>
                <w:sz w:val="24"/>
                <w:szCs w:val="24"/>
              </w:rPr>
              <w:t>.</w:t>
            </w:r>
          </w:p>
          <w:p w14:paraId="5A82CBB3" w14:textId="77777777" w:rsidR="00996271" w:rsidRDefault="001551A7" w:rsidP="00996271">
            <w:pPr>
              <w:spacing w:after="160" w:line="240" w:lineRule="auto"/>
              <w:jc w:val="both"/>
              <w:rPr>
                <w:rFonts w:ascii="Times New Roman" w:hAnsi="Times New Roman" w:cs="Times New Roman"/>
                <w:b/>
                <w:bCs/>
                <w:sz w:val="24"/>
                <w:szCs w:val="24"/>
              </w:rPr>
            </w:pPr>
            <w:r w:rsidRPr="001551A7">
              <w:rPr>
                <w:rFonts w:ascii="Times New Roman" w:hAnsi="Times New Roman" w:cs="Times New Roman"/>
                <w:b/>
                <w:bCs/>
                <w:sz w:val="24"/>
                <w:szCs w:val="24"/>
              </w:rPr>
              <w:t xml:space="preserve">Par prasībām pakalpojuma sniegšanai. </w:t>
            </w:r>
          </w:p>
          <w:p w14:paraId="2D62AC3F" w14:textId="0E502858" w:rsidR="001551A7" w:rsidRPr="00996271" w:rsidRDefault="001551A7" w:rsidP="00996271">
            <w:pPr>
              <w:spacing w:after="160" w:line="240" w:lineRule="auto"/>
              <w:jc w:val="both"/>
              <w:rPr>
                <w:rFonts w:ascii="Times New Roman" w:hAnsi="Times New Roman" w:cs="Times New Roman"/>
                <w:b/>
                <w:bCs/>
                <w:sz w:val="24"/>
                <w:szCs w:val="24"/>
              </w:rPr>
            </w:pPr>
            <w:r w:rsidRPr="001551A7">
              <w:rPr>
                <w:rFonts w:ascii="Times New Roman" w:hAnsi="Times New Roman" w:cs="Times New Roman"/>
                <w:sz w:val="24"/>
                <w:szCs w:val="24"/>
              </w:rPr>
              <w:t xml:space="preserve">Ar </w:t>
            </w:r>
            <w:r w:rsidR="00192FFA">
              <w:rPr>
                <w:rFonts w:ascii="Times New Roman" w:hAnsi="Times New Roman" w:cs="Times New Roman"/>
                <w:sz w:val="24"/>
                <w:szCs w:val="24"/>
              </w:rPr>
              <w:t xml:space="preserve">Noteikumu </w:t>
            </w:r>
            <w:r w:rsidRPr="001551A7">
              <w:rPr>
                <w:rFonts w:ascii="Times New Roman" w:hAnsi="Times New Roman" w:cs="Times New Roman"/>
                <w:sz w:val="24"/>
                <w:szCs w:val="24"/>
              </w:rPr>
              <w:t>projektu tiek noteikt</w:t>
            </w:r>
            <w:r>
              <w:rPr>
                <w:rFonts w:ascii="Times New Roman" w:hAnsi="Times New Roman" w:cs="Times New Roman"/>
                <w:sz w:val="24"/>
                <w:szCs w:val="24"/>
              </w:rPr>
              <w:t>as sekojošas prasības pakalpojumu sniegšanai</w:t>
            </w:r>
            <w:r w:rsidRPr="001551A7">
              <w:rPr>
                <w:rFonts w:ascii="Times New Roman" w:hAnsi="Times New Roman" w:cs="Times New Roman"/>
                <w:sz w:val="24"/>
                <w:szCs w:val="24"/>
              </w:rPr>
              <w:t>:</w:t>
            </w:r>
          </w:p>
          <w:p w14:paraId="7A775CFD" w14:textId="77777777"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rPr>
              <w:t>pakalpojumu sniegšanas regularitāti, intensitāti un precizitāti saskaņā ar apstiprināto autobusu kustības sarakstu. Atkāpšanos no kustības sarakstā noteiktās precizitātes ir pieļaujama, ja pakalpojuma izpildi ietekmē ceļa stāvoklis, sastrēgumi vai citi no pārvadātāja neatkarīgi apstākļi;</w:t>
            </w:r>
          </w:p>
          <w:p w14:paraId="5037487A" w14:textId="35AE9A1B"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shd w:val="clear" w:color="auto" w:fill="FFFFFF"/>
              </w:rPr>
              <w:t>pasažieru apmaiņu autobusu kustībās sarakstā norādītajās maršrutu apkalpes vietās</w:t>
            </w:r>
            <w:r w:rsidR="00996271">
              <w:rPr>
                <w:rFonts w:ascii="Times New Roman" w:hAnsi="Times New Roman" w:cs="Times New Roman"/>
                <w:sz w:val="24"/>
                <w:szCs w:val="24"/>
                <w:shd w:val="clear" w:color="auto" w:fill="FFFFFF"/>
              </w:rPr>
              <w:t xml:space="preserve">, t.i., autoostās, pieturās un vietās, kurās atļauta autobusu apmaiņa. </w:t>
            </w:r>
          </w:p>
          <w:p w14:paraId="73E43FD1" w14:textId="0CEA3CA1"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proofErr w:type="spellStart"/>
            <w:r w:rsidRPr="00F866C9">
              <w:rPr>
                <w:rFonts w:ascii="Times New Roman" w:hAnsi="Times New Roman" w:cs="Times New Roman"/>
                <w:sz w:val="24"/>
                <w:szCs w:val="24"/>
                <w:shd w:val="clear" w:color="auto" w:fill="FFFFFF"/>
              </w:rPr>
              <w:t>valstspilsētu</w:t>
            </w:r>
            <w:proofErr w:type="spellEnd"/>
            <w:r w:rsidRPr="00F866C9">
              <w:rPr>
                <w:rFonts w:ascii="Times New Roman" w:hAnsi="Times New Roman" w:cs="Times New Roman"/>
                <w:sz w:val="24"/>
                <w:szCs w:val="24"/>
              </w:rPr>
              <w:t xml:space="preserve"> teritorijā ienākošajos reisos autobusu kustības sarakstā iekļautās pieturas izmantošanu tikai pasažieru izlaišanai</w:t>
            </w:r>
            <w:r w:rsidR="00192FFA">
              <w:rPr>
                <w:rFonts w:ascii="Times New Roman" w:hAnsi="Times New Roman" w:cs="Times New Roman"/>
                <w:sz w:val="24"/>
                <w:szCs w:val="24"/>
              </w:rPr>
              <w:t xml:space="preserve">. Ienākošajos reisos pasažieru uzņemšana atļauta tikai pēc saskaņošanas ar attiecīgo </w:t>
            </w:r>
            <w:proofErr w:type="spellStart"/>
            <w:r w:rsidR="00192FFA">
              <w:rPr>
                <w:rFonts w:ascii="Times New Roman" w:hAnsi="Times New Roman" w:cs="Times New Roman"/>
                <w:sz w:val="24"/>
                <w:szCs w:val="24"/>
              </w:rPr>
              <w:t>valstspilsētas</w:t>
            </w:r>
            <w:proofErr w:type="spellEnd"/>
            <w:r w:rsidR="00192FFA">
              <w:rPr>
                <w:rFonts w:ascii="Times New Roman" w:hAnsi="Times New Roman" w:cs="Times New Roman"/>
                <w:sz w:val="24"/>
                <w:szCs w:val="24"/>
              </w:rPr>
              <w:t xml:space="preserve"> domi</w:t>
            </w:r>
            <w:r w:rsidRPr="00F866C9">
              <w:rPr>
                <w:rFonts w:ascii="Times New Roman" w:hAnsi="Times New Roman" w:cs="Times New Roman"/>
                <w:sz w:val="24"/>
                <w:szCs w:val="24"/>
              </w:rPr>
              <w:t>, izbraucošajos reisos – tikai pasažieru uzņemšanai</w:t>
            </w:r>
            <w:r w:rsidR="00996271">
              <w:rPr>
                <w:rFonts w:ascii="Times New Roman" w:hAnsi="Times New Roman" w:cs="Times New Roman"/>
                <w:sz w:val="24"/>
                <w:szCs w:val="24"/>
              </w:rPr>
              <w:t xml:space="preserve">. Prasība tiek noteikta, lai pakalpojumu sniedzēji komerciālajos maršrutos (reisos)  nekonkurētu ar pārvadātājiem pilsētas nozīmes maršrutos. Turklāt ikvienas pieturas, kas atrodas </w:t>
            </w:r>
            <w:proofErr w:type="spellStart"/>
            <w:r w:rsidR="00996271">
              <w:rPr>
                <w:rFonts w:ascii="Times New Roman" w:hAnsi="Times New Roman" w:cs="Times New Roman"/>
                <w:sz w:val="24"/>
                <w:szCs w:val="24"/>
              </w:rPr>
              <w:t>valstspilsētu</w:t>
            </w:r>
            <w:proofErr w:type="spellEnd"/>
            <w:r w:rsidR="00996271">
              <w:rPr>
                <w:rFonts w:ascii="Times New Roman" w:hAnsi="Times New Roman" w:cs="Times New Roman"/>
                <w:sz w:val="24"/>
                <w:szCs w:val="24"/>
              </w:rPr>
              <w:t xml:space="preserve"> teritorijā, iekļaušana reģionālās nozīmes autobusu kustības sarakstos ir atļauta tikai pēc saskaņojuma saņemšanas no </w:t>
            </w:r>
            <w:proofErr w:type="spellStart"/>
            <w:r w:rsidR="00996271">
              <w:rPr>
                <w:rFonts w:ascii="Times New Roman" w:hAnsi="Times New Roman" w:cs="Times New Roman"/>
                <w:sz w:val="24"/>
                <w:szCs w:val="24"/>
              </w:rPr>
              <w:t>valstspislētām</w:t>
            </w:r>
            <w:proofErr w:type="spellEnd"/>
            <w:r w:rsidR="00996271">
              <w:rPr>
                <w:rFonts w:ascii="Times New Roman" w:hAnsi="Times New Roman" w:cs="Times New Roman"/>
                <w:sz w:val="24"/>
                <w:szCs w:val="24"/>
              </w:rPr>
              <w:t>.</w:t>
            </w:r>
          </w:p>
          <w:p w14:paraId="2EA81341" w14:textId="57FFF769" w:rsidR="00F0605D" w:rsidRPr="00996271"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shd w:val="clear" w:color="auto" w:fill="FFFFFF"/>
              </w:rPr>
              <w:t>s</w:t>
            </w:r>
            <w:r w:rsidRPr="00996271">
              <w:rPr>
                <w:rFonts w:ascii="Times New Roman" w:hAnsi="Times New Roman" w:cs="Times New Roman"/>
                <w:sz w:val="24"/>
                <w:szCs w:val="24"/>
                <w:shd w:val="clear" w:color="auto" w:fill="FFFFFF"/>
              </w:rPr>
              <w:t xml:space="preserve">tāvvietu izmantošanu tikai autobusos, kuri tiek izmantoti maršrutos (reisos), kuru kopgarums nepārsniedz </w:t>
            </w:r>
            <w:r w:rsidRPr="00996271">
              <w:rPr>
                <w:rFonts w:ascii="Times New Roman" w:hAnsi="Times New Roman" w:cs="Times New Roman"/>
                <w:sz w:val="24"/>
                <w:szCs w:val="24"/>
              </w:rPr>
              <w:t xml:space="preserve">60 km. Stāvvietu izmantošanas ierobežojumu pamatā ir gan pasažieru drošības apsvērumi, gan to komforta apsvērumi. Turklāt tas vien, ka ražotājs autobusa specifikācijā ir paredzējis stāvvietas izmantošanas iespēju, vēl nenozīmē, ka pasūtītājam tās izmantošana ir jāpieļauj. Tādejādi tika noteikts, ka stāvvietas ir atļauts izmantot tikai reisos, kuru kopgarums nepārsniedz 60 (sešdesmit) km. Maršruti ar kopgarumu virs 60 km </w:t>
            </w:r>
            <w:r w:rsidRPr="00996271">
              <w:rPr>
                <w:rFonts w:ascii="Times New Roman" w:hAnsi="Times New Roman" w:cs="Times New Roman"/>
                <w:iCs/>
                <w:sz w:val="24"/>
                <w:szCs w:val="24"/>
              </w:rPr>
              <w:t>pārsvarā tiek izpildīti  uz ceļiem un šosejām, kurās atļautais ātrums ir 90-100 km/h. Tas nozīmē, ka šajos maršrutos satiksmes dalībnieki ir pakļauti lielākam riskam iekļūt satiksmes negadījumos.  Cilvēku (pasažieru)</w:t>
            </w:r>
            <w:r w:rsidRPr="00996271">
              <w:rPr>
                <w:rFonts w:ascii="Times New Roman" w:hAnsi="Times New Roman" w:cs="Times New Roman"/>
                <w:i/>
                <w:sz w:val="24"/>
                <w:szCs w:val="24"/>
              </w:rPr>
              <w:t xml:space="preserve"> </w:t>
            </w:r>
            <w:r w:rsidRPr="00996271">
              <w:rPr>
                <w:rFonts w:ascii="Times New Roman" w:hAnsi="Times New Roman" w:cs="Times New Roman"/>
                <w:sz w:val="24"/>
                <w:szCs w:val="24"/>
              </w:rPr>
              <w:t xml:space="preserve">drošība ir viens no būtiskākajiem faktoriem. Tas ir norādīts arī Ministru kabineta 2017.gada 4.aprīļa rīkojumā Nr.180 </w:t>
            </w:r>
            <w:r w:rsidRPr="00996271">
              <w:rPr>
                <w:rFonts w:ascii="Times New Roman" w:hAnsi="Times New Roman" w:cs="Times New Roman"/>
                <w:i/>
                <w:iCs/>
                <w:sz w:val="24"/>
                <w:szCs w:val="24"/>
              </w:rPr>
              <w:t>“Par Ceļu satiksmes drošības plānu 2017.-2020. gadam”.</w:t>
            </w:r>
            <w:r w:rsidRPr="00996271">
              <w:rPr>
                <w:rFonts w:ascii="Times New Roman" w:hAnsi="Times New Roman" w:cs="Times New Roman"/>
                <w:sz w:val="24"/>
                <w:szCs w:val="24"/>
              </w:rPr>
              <w:t xml:space="preserve"> Ir jāatzīmē, ka saskaņā ar statistiku ceļu satiksmes negadījumi, kuros ir iesaistīts sabiedriskais transports, kopumā pēdējos gados </w:t>
            </w:r>
            <w:r w:rsidRPr="00996271">
              <w:rPr>
                <w:rFonts w:ascii="Times New Roman" w:hAnsi="Times New Roman" w:cs="Times New Roman"/>
                <w:sz w:val="24"/>
                <w:szCs w:val="24"/>
              </w:rPr>
              <w:lastRenderedPageBreak/>
              <w:t>samazinās, tomēr joprojām saglabājas pietiekami augsts, tā piemēram 2019.gada 6 mēnešos tas sastādīja 4% no kopējā negadījumu skaita un tie bija 388 gadījumi.</w:t>
            </w:r>
          </w:p>
        </w:tc>
      </w:tr>
      <w:bookmarkEnd w:id="1"/>
      <w:tr w:rsidR="00F0605D" w:rsidRPr="0014329A" w14:paraId="7E6EFDA4" w14:textId="77777777" w:rsidTr="00F74A3F">
        <w:trPr>
          <w:trHeight w:val="476"/>
        </w:trPr>
        <w:tc>
          <w:tcPr>
            <w:tcW w:w="869" w:type="dxa"/>
          </w:tcPr>
          <w:p w14:paraId="318CFBE2"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highlight w:val="yellow"/>
                <w:lang w:eastAsia="lv-LV"/>
              </w:rPr>
            </w:pPr>
            <w:r w:rsidRPr="00E82963">
              <w:rPr>
                <w:rFonts w:ascii="Times New Roman" w:hAnsi="Times New Roman" w:cs="Times New Roman"/>
                <w:color w:val="000000"/>
                <w:sz w:val="24"/>
                <w:szCs w:val="24"/>
                <w:lang w:eastAsia="lv-LV"/>
              </w:rPr>
              <w:lastRenderedPageBreak/>
              <w:t>3.</w:t>
            </w:r>
          </w:p>
        </w:tc>
        <w:tc>
          <w:tcPr>
            <w:tcW w:w="2807" w:type="dxa"/>
          </w:tcPr>
          <w:p w14:paraId="08A7DBB5"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izstrādē iesaistītās institūcijas</w:t>
            </w:r>
            <w:r>
              <w:rPr>
                <w:rFonts w:ascii="Times New Roman" w:hAnsi="Times New Roman" w:cs="Times New Roman"/>
                <w:color w:val="000000"/>
                <w:sz w:val="24"/>
                <w:szCs w:val="24"/>
                <w:lang w:eastAsia="lv-LV"/>
              </w:rPr>
              <w:t xml:space="preserve"> un publiskas personas kapitālsabiedrības</w:t>
            </w:r>
          </w:p>
        </w:tc>
        <w:tc>
          <w:tcPr>
            <w:tcW w:w="5788" w:type="dxa"/>
          </w:tcPr>
          <w:p w14:paraId="2AA45C20" w14:textId="0CB31686"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 xml:space="preserve">Satiksmes ministrija, </w:t>
            </w:r>
            <w:r w:rsidR="00976373">
              <w:rPr>
                <w:rFonts w:ascii="Times New Roman" w:hAnsi="Times New Roman" w:cs="Times New Roman"/>
                <w:color w:val="000000"/>
                <w:sz w:val="24"/>
                <w:szCs w:val="24"/>
                <w:lang w:eastAsia="lv-LV"/>
              </w:rPr>
              <w:t>VSIA “Autotransporta direkcija”</w:t>
            </w:r>
            <w:r>
              <w:rPr>
                <w:rFonts w:ascii="Times New Roman" w:hAnsi="Times New Roman" w:cs="Times New Roman"/>
                <w:color w:val="000000"/>
                <w:sz w:val="24"/>
                <w:szCs w:val="24"/>
                <w:lang w:eastAsia="lv-LV"/>
              </w:rPr>
              <w:t>.</w:t>
            </w:r>
            <w:r w:rsidRPr="00E82963">
              <w:rPr>
                <w:rFonts w:ascii="Times New Roman" w:hAnsi="Times New Roman" w:cs="Times New Roman"/>
                <w:color w:val="000000"/>
                <w:sz w:val="24"/>
                <w:szCs w:val="24"/>
                <w:lang w:eastAsia="lv-LV"/>
              </w:rPr>
              <w:t xml:space="preserve"> </w:t>
            </w:r>
          </w:p>
        </w:tc>
      </w:tr>
      <w:tr w:rsidR="00F0605D" w:rsidRPr="0014329A" w14:paraId="795D38B0" w14:textId="77777777" w:rsidTr="00F74A3F">
        <w:trPr>
          <w:trHeight w:val="398"/>
        </w:trPr>
        <w:tc>
          <w:tcPr>
            <w:tcW w:w="869" w:type="dxa"/>
          </w:tcPr>
          <w:p w14:paraId="0305861D"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4.</w:t>
            </w:r>
          </w:p>
        </w:tc>
        <w:tc>
          <w:tcPr>
            <w:tcW w:w="2807" w:type="dxa"/>
          </w:tcPr>
          <w:p w14:paraId="05F6B645" w14:textId="77777777" w:rsidR="00F0605D" w:rsidRPr="00474B11" w:rsidRDefault="00F0605D" w:rsidP="00F0605D">
            <w:pPr>
              <w:spacing w:after="0" w:line="240" w:lineRule="auto"/>
              <w:ind w:left="57" w:right="57"/>
              <w:jc w:val="both"/>
              <w:rPr>
                <w:rFonts w:ascii="Times New Roman" w:hAnsi="Times New Roman" w:cs="Times New Roman"/>
                <w:color w:val="000000"/>
                <w:sz w:val="24"/>
                <w:szCs w:val="24"/>
                <w:lang w:eastAsia="lv-LV"/>
              </w:rPr>
            </w:pPr>
            <w:r w:rsidRPr="00474B11">
              <w:rPr>
                <w:rFonts w:ascii="Times New Roman" w:hAnsi="Times New Roman" w:cs="Times New Roman"/>
                <w:color w:val="000000"/>
                <w:sz w:val="24"/>
                <w:szCs w:val="24"/>
                <w:lang w:eastAsia="lv-LV"/>
              </w:rPr>
              <w:t>Cita informācija</w:t>
            </w:r>
          </w:p>
        </w:tc>
        <w:tc>
          <w:tcPr>
            <w:tcW w:w="5788" w:type="dxa"/>
          </w:tcPr>
          <w:p w14:paraId="64BB1D3A" w14:textId="77777777" w:rsidR="00F0605D" w:rsidRPr="00474B11" w:rsidRDefault="00F0605D" w:rsidP="00F0605D">
            <w:pPr>
              <w:spacing w:after="0" w:line="240" w:lineRule="auto"/>
              <w:ind w:left="57" w:right="57"/>
              <w:jc w:val="both"/>
              <w:rPr>
                <w:rFonts w:ascii="Times New Roman" w:hAnsi="Times New Roman" w:cs="Times New Roman"/>
                <w:color w:val="000000"/>
                <w:sz w:val="24"/>
                <w:szCs w:val="24"/>
                <w:lang w:eastAsia="lv-LV"/>
              </w:rPr>
            </w:pPr>
            <w:r w:rsidRPr="00474B11">
              <w:rPr>
                <w:rFonts w:ascii="Times New Roman" w:hAnsi="Times New Roman" w:cs="Times New Roman"/>
                <w:color w:val="000000"/>
                <w:sz w:val="24"/>
                <w:szCs w:val="24"/>
                <w:lang w:eastAsia="lv-LV"/>
              </w:rPr>
              <w:t>Nav.</w:t>
            </w:r>
          </w:p>
        </w:tc>
      </w:tr>
    </w:tbl>
    <w:p w14:paraId="0854A7CF" w14:textId="77777777" w:rsidR="00CB09B4" w:rsidRPr="00E82963" w:rsidRDefault="00CB09B4" w:rsidP="007F3370">
      <w:pPr>
        <w:spacing w:after="0" w:line="240" w:lineRule="auto"/>
        <w:jc w:val="both"/>
        <w:rPr>
          <w:rFonts w:ascii="Times New Roman" w:hAnsi="Times New Roman" w:cs="Times New Roman"/>
          <w:color w:val="000000"/>
          <w:sz w:val="24"/>
          <w:szCs w:val="24"/>
          <w:highlight w:val="yellow"/>
          <w:lang w:eastAsia="lv-LV"/>
        </w:rPr>
      </w:pPr>
    </w:p>
    <w:tbl>
      <w:tblPr>
        <w:tblW w:w="9463" w:type="dxa"/>
        <w:tblInd w:w="-254"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877"/>
        <w:gridCol w:w="2809"/>
        <w:gridCol w:w="5777"/>
      </w:tblGrid>
      <w:tr w:rsidR="00CB09B4" w:rsidRPr="0014329A" w14:paraId="1B3468D9" w14:textId="77777777" w:rsidTr="00FF521A">
        <w:trPr>
          <w:trHeight w:val="675"/>
        </w:trPr>
        <w:tc>
          <w:tcPr>
            <w:tcW w:w="9463" w:type="dxa"/>
            <w:gridSpan w:val="3"/>
            <w:tcBorders>
              <w:top w:val="single" w:sz="4" w:space="0" w:color="auto"/>
              <w:left w:val="single" w:sz="4" w:space="0" w:color="auto"/>
              <w:bottom w:val="outset" w:sz="6" w:space="0" w:color="000000"/>
              <w:right w:val="single" w:sz="4" w:space="0" w:color="auto"/>
            </w:tcBorders>
          </w:tcPr>
          <w:p w14:paraId="32B66B05" w14:textId="77777777" w:rsidR="00CB09B4" w:rsidRPr="00E82963" w:rsidRDefault="00CB09B4" w:rsidP="007F3370">
            <w:pPr>
              <w:spacing w:after="0" w:line="240" w:lineRule="auto"/>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II. Tiesību akta projekta ietekme uz sabiedrību, tautsaimniecības attīstību un administratīvo slogu</w:t>
            </w:r>
          </w:p>
        </w:tc>
      </w:tr>
      <w:tr w:rsidR="00CB09B4" w:rsidRPr="0014329A" w14:paraId="2524E4FF" w14:textId="77777777" w:rsidTr="0043397D">
        <w:tc>
          <w:tcPr>
            <w:tcW w:w="877" w:type="dxa"/>
            <w:tcBorders>
              <w:top w:val="outset" w:sz="6" w:space="0" w:color="000000"/>
              <w:bottom w:val="outset" w:sz="6" w:space="0" w:color="000000"/>
              <w:right w:val="outset" w:sz="6" w:space="0" w:color="000000"/>
            </w:tcBorders>
          </w:tcPr>
          <w:p w14:paraId="44A711FE" w14:textId="77777777" w:rsidR="00CB09B4" w:rsidRPr="00E82963" w:rsidRDefault="00CB09B4" w:rsidP="007F3370">
            <w:pPr>
              <w:spacing w:after="0" w:line="240" w:lineRule="auto"/>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809" w:type="dxa"/>
            <w:tcBorders>
              <w:top w:val="outset" w:sz="6" w:space="0" w:color="000000"/>
              <w:left w:val="outset" w:sz="6" w:space="0" w:color="000000"/>
              <w:bottom w:val="outset" w:sz="6" w:space="0" w:color="000000"/>
              <w:right w:val="outset" w:sz="6" w:space="0" w:color="000000"/>
            </w:tcBorders>
          </w:tcPr>
          <w:p w14:paraId="586A09D9" w14:textId="77777777" w:rsidR="00CB09B4" w:rsidRPr="009C63C4" w:rsidRDefault="00CB09B4" w:rsidP="007F3370">
            <w:pPr>
              <w:spacing w:after="0" w:line="240" w:lineRule="auto"/>
              <w:jc w:val="both"/>
              <w:rPr>
                <w:rFonts w:ascii="Times New Roman" w:hAnsi="Times New Roman" w:cs="Times New Roman"/>
                <w:color w:val="000000"/>
                <w:sz w:val="24"/>
                <w:szCs w:val="24"/>
                <w:lang w:eastAsia="lv-LV"/>
              </w:rPr>
            </w:pPr>
            <w:r w:rsidRPr="009C63C4">
              <w:rPr>
                <w:rFonts w:ascii="Times New Roman" w:hAnsi="Times New Roman" w:cs="Times New Roman"/>
                <w:color w:val="000000"/>
                <w:sz w:val="24"/>
                <w:szCs w:val="24"/>
                <w:lang w:eastAsia="lv-LV"/>
              </w:rPr>
              <w:t>Sabiedrības mērķgrupas, kuras tiesiskais regulējums ietekmē vai varētu ietekmēt</w:t>
            </w:r>
          </w:p>
        </w:tc>
        <w:tc>
          <w:tcPr>
            <w:tcW w:w="5777" w:type="dxa"/>
            <w:tcBorders>
              <w:top w:val="outset" w:sz="6" w:space="0" w:color="000000"/>
              <w:left w:val="outset" w:sz="6" w:space="0" w:color="000000"/>
              <w:bottom w:val="outset" w:sz="6" w:space="0" w:color="000000"/>
            </w:tcBorders>
          </w:tcPr>
          <w:p w14:paraId="7708BC18" w14:textId="199C48D3" w:rsidR="00CB09B4" w:rsidRPr="009C63C4" w:rsidRDefault="00485663" w:rsidP="008867B3">
            <w:pPr>
              <w:spacing w:after="0" w:line="240" w:lineRule="auto"/>
              <w:ind w:left="72" w:right="109"/>
              <w:jc w:val="both"/>
              <w:rPr>
                <w:rFonts w:ascii="Times New Roman" w:hAnsi="Times New Roman" w:cs="Times New Roman"/>
                <w:color w:val="000000"/>
                <w:sz w:val="24"/>
                <w:szCs w:val="24"/>
                <w:lang w:eastAsia="lv-LV"/>
              </w:rPr>
            </w:pPr>
            <w:r>
              <w:rPr>
                <w:rFonts w:ascii="Times New Roman" w:hAnsi="Times New Roman"/>
                <w:color w:val="000000"/>
                <w:sz w:val="24"/>
                <w:szCs w:val="24"/>
                <w:lang w:eastAsia="lv-LV"/>
              </w:rPr>
              <w:t>Komerciālo maršrutu (reisu) pasažieri un</w:t>
            </w:r>
            <w:r w:rsidR="000176AE">
              <w:rPr>
                <w:rFonts w:ascii="Times New Roman" w:hAnsi="Times New Roman"/>
                <w:color w:val="000000"/>
                <w:sz w:val="24"/>
                <w:szCs w:val="24"/>
                <w:lang w:eastAsia="lv-LV"/>
              </w:rPr>
              <w:t xml:space="preserve"> pārvadātāji. </w:t>
            </w:r>
          </w:p>
        </w:tc>
      </w:tr>
      <w:tr w:rsidR="00CB09B4" w:rsidRPr="0014329A" w14:paraId="05AEFEBE" w14:textId="77777777" w:rsidTr="0043397D">
        <w:tc>
          <w:tcPr>
            <w:tcW w:w="877" w:type="dxa"/>
            <w:tcBorders>
              <w:top w:val="outset" w:sz="6" w:space="0" w:color="000000"/>
              <w:bottom w:val="outset" w:sz="6" w:space="0" w:color="000000"/>
              <w:right w:val="outset" w:sz="6" w:space="0" w:color="000000"/>
            </w:tcBorders>
          </w:tcPr>
          <w:p w14:paraId="1371E348"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809" w:type="dxa"/>
            <w:tcBorders>
              <w:top w:val="outset" w:sz="6" w:space="0" w:color="000000"/>
              <w:left w:val="outset" w:sz="6" w:space="0" w:color="000000"/>
              <w:bottom w:val="outset" w:sz="6" w:space="0" w:color="000000"/>
              <w:right w:val="outset" w:sz="6" w:space="0" w:color="000000"/>
            </w:tcBorders>
          </w:tcPr>
          <w:p w14:paraId="1328F010" w14:textId="77777777" w:rsidR="00CB09B4" w:rsidRPr="00122B11" w:rsidRDefault="00CB09B4" w:rsidP="00902734">
            <w:pPr>
              <w:spacing w:after="0" w:line="240" w:lineRule="auto"/>
              <w:ind w:left="57" w:right="57"/>
              <w:jc w:val="both"/>
              <w:rPr>
                <w:rFonts w:ascii="Times New Roman" w:hAnsi="Times New Roman" w:cs="Times New Roman"/>
                <w:color w:val="000000"/>
                <w:sz w:val="24"/>
                <w:szCs w:val="24"/>
                <w:lang w:eastAsia="lv-LV"/>
              </w:rPr>
            </w:pPr>
            <w:r w:rsidRPr="00122B11">
              <w:rPr>
                <w:rFonts w:ascii="Times New Roman" w:hAnsi="Times New Roman" w:cs="Times New Roman"/>
                <w:color w:val="000000"/>
                <w:sz w:val="24"/>
                <w:szCs w:val="24"/>
                <w:lang w:eastAsia="lv-LV"/>
              </w:rPr>
              <w:t>Tiesiskā regulējuma ietekme uz tautsaimniecību un administratīvo slogu</w:t>
            </w:r>
          </w:p>
        </w:tc>
        <w:tc>
          <w:tcPr>
            <w:tcW w:w="5777" w:type="dxa"/>
            <w:tcBorders>
              <w:top w:val="outset" w:sz="6" w:space="0" w:color="000000"/>
              <w:left w:val="outset" w:sz="6" w:space="0" w:color="000000"/>
              <w:bottom w:val="outset" w:sz="6" w:space="0" w:color="000000"/>
            </w:tcBorders>
          </w:tcPr>
          <w:p w14:paraId="248E646A" w14:textId="77777777" w:rsidR="00CB09B4" w:rsidRPr="00122B11" w:rsidRDefault="00C62AF9" w:rsidP="00122B11">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2DCEC2A5" w14:textId="77777777" w:rsidTr="0043397D">
        <w:tc>
          <w:tcPr>
            <w:tcW w:w="877" w:type="dxa"/>
            <w:tcBorders>
              <w:top w:val="outset" w:sz="6" w:space="0" w:color="000000"/>
              <w:bottom w:val="outset" w:sz="6" w:space="0" w:color="000000"/>
              <w:right w:val="outset" w:sz="6" w:space="0" w:color="000000"/>
            </w:tcBorders>
          </w:tcPr>
          <w:p w14:paraId="256F7666"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2809" w:type="dxa"/>
            <w:tcBorders>
              <w:top w:val="outset" w:sz="6" w:space="0" w:color="000000"/>
              <w:left w:val="outset" w:sz="6" w:space="0" w:color="000000"/>
              <w:bottom w:val="outset" w:sz="6" w:space="0" w:color="000000"/>
              <w:right w:val="outset" w:sz="6" w:space="0" w:color="000000"/>
            </w:tcBorders>
          </w:tcPr>
          <w:p w14:paraId="401DE37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Administratīvo izmaksu monetārs novērtējums</w:t>
            </w:r>
          </w:p>
        </w:tc>
        <w:tc>
          <w:tcPr>
            <w:tcW w:w="5777" w:type="dxa"/>
            <w:tcBorders>
              <w:top w:val="outset" w:sz="6" w:space="0" w:color="000000"/>
              <w:left w:val="outset" w:sz="6" w:space="0" w:color="000000"/>
              <w:bottom w:val="outset" w:sz="6" w:space="0" w:color="000000"/>
            </w:tcBorders>
          </w:tcPr>
          <w:p w14:paraId="55AB75B0" w14:textId="77777777" w:rsidR="00CB09B4" w:rsidRPr="00E82963" w:rsidRDefault="00C62AF9" w:rsidP="0008019B">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4F9EF1A6" w14:textId="77777777" w:rsidTr="0043397D">
        <w:tc>
          <w:tcPr>
            <w:tcW w:w="877" w:type="dxa"/>
            <w:tcBorders>
              <w:top w:val="outset" w:sz="6" w:space="0" w:color="000000"/>
              <w:bottom w:val="outset" w:sz="6" w:space="0" w:color="000000"/>
              <w:right w:val="outset" w:sz="6" w:space="0" w:color="000000"/>
            </w:tcBorders>
          </w:tcPr>
          <w:p w14:paraId="700E086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w:t>
            </w:r>
          </w:p>
        </w:tc>
        <w:tc>
          <w:tcPr>
            <w:tcW w:w="2809" w:type="dxa"/>
            <w:tcBorders>
              <w:top w:val="outset" w:sz="6" w:space="0" w:color="000000"/>
              <w:left w:val="outset" w:sz="6" w:space="0" w:color="000000"/>
              <w:bottom w:val="outset" w:sz="6" w:space="0" w:color="000000"/>
              <w:right w:val="outset" w:sz="6" w:space="0" w:color="000000"/>
            </w:tcBorders>
          </w:tcPr>
          <w:p w14:paraId="65648CA3"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Atbilstības izmaksu monetārs novērtējums</w:t>
            </w:r>
          </w:p>
        </w:tc>
        <w:tc>
          <w:tcPr>
            <w:tcW w:w="5777" w:type="dxa"/>
            <w:tcBorders>
              <w:top w:val="outset" w:sz="6" w:space="0" w:color="000000"/>
              <w:left w:val="outset" w:sz="6" w:space="0" w:color="000000"/>
              <w:bottom w:val="outset" w:sz="6" w:space="0" w:color="000000"/>
            </w:tcBorders>
          </w:tcPr>
          <w:p w14:paraId="5D743EED" w14:textId="77777777" w:rsidR="00CB09B4" w:rsidRPr="00E82963" w:rsidRDefault="00CB09B4" w:rsidP="00902734">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41BBEA29" w14:textId="77777777" w:rsidTr="0043397D">
        <w:trPr>
          <w:trHeight w:val="262"/>
        </w:trPr>
        <w:tc>
          <w:tcPr>
            <w:tcW w:w="877" w:type="dxa"/>
            <w:tcBorders>
              <w:top w:val="outset" w:sz="6" w:space="0" w:color="000000"/>
              <w:bottom w:val="outset" w:sz="6" w:space="0" w:color="414142"/>
              <w:right w:val="outset" w:sz="6" w:space="0" w:color="000000"/>
            </w:tcBorders>
          </w:tcPr>
          <w:p w14:paraId="1FA9483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w:t>
            </w:r>
            <w:r w:rsidRPr="00E82963">
              <w:rPr>
                <w:rFonts w:ascii="Times New Roman" w:hAnsi="Times New Roman" w:cs="Times New Roman"/>
                <w:color w:val="000000"/>
                <w:sz w:val="24"/>
                <w:szCs w:val="24"/>
                <w:lang w:eastAsia="lv-LV"/>
              </w:rPr>
              <w:t>.</w:t>
            </w:r>
          </w:p>
        </w:tc>
        <w:tc>
          <w:tcPr>
            <w:tcW w:w="2809" w:type="dxa"/>
            <w:tcBorders>
              <w:top w:val="outset" w:sz="6" w:space="0" w:color="000000"/>
              <w:left w:val="outset" w:sz="6" w:space="0" w:color="000000"/>
              <w:bottom w:val="outset" w:sz="6" w:space="0" w:color="414142"/>
              <w:right w:val="outset" w:sz="6" w:space="0" w:color="000000"/>
            </w:tcBorders>
          </w:tcPr>
          <w:p w14:paraId="3C43664E"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 Cita informācija</w:t>
            </w:r>
          </w:p>
        </w:tc>
        <w:tc>
          <w:tcPr>
            <w:tcW w:w="5777" w:type="dxa"/>
            <w:tcBorders>
              <w:top w:val="outset" w:sz="6" w:space="0" w:color="000000"/>
              <w:left w:val="outset" w:sz="6" w:space="0" w:color="000000"/>
              <w:bottom w:val="outset" w:sz="6" w:space="0" w:color="414142"/>
            </w:tcBorders>
          </w:tcPr>
          <w:p w14:paraId="00B88466" w14:textId="77777777" w:rsidR="00CB09B4" w:rsidRPr="00E82963" w:rsidRDefault="00CB09B4" w:rsidP="00104816">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61130E12" w14:textId="77777777" w:rsidR="00CB09B4" w:rsidRDefault="00CB09B4" w:rsidP="007F3370">
      <w:pPr>
        <w:spacing w:after="0" w:line="240" w:lineRule="auto"/>
        <w:jc w:val="both"/>
        <w:rPr>
          <w:rFonts w:ascii="Times New Roman" w:hAnsi="Times New Roman" w:cs="Times New Roman"/>
          <w:color w:val="000000"/>
          <w:sz w:val="24"/>
          <w:szCs w:val="24"/>
          <w:highlight w:val="yellow"/>
          <w:lang w:eastAsia="lv-LV"/>
        </w:rPr>
      </w:pPr>
    </w:p>
    <w:tbl>
      <w:tblPr>
        <w:tblW w:w="5223"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9459"/>
      </w:tblGrid>
      <w:tr w:rsidR="00CB09B4" w14:paraId="7C3C593B" w14:textId="77777777" w:rsidTr="00F74A3F">
        <w:trPr>
          <w:trHeight w:val="450"/>
        </w:trPr>
        <w:tc>
          <w:tcPr>
            <w:tcW w:w="5000" w:type="pct"/>
            <w:tcBorders>
              <w:top w:val="outset" w:sz="6" w:space="0" w:color="414142"/>
              <w:bottom w:val="outset" w:sz="6" w:space="0" w:color="414142"/>
            </w:tcBorders>
            <w:vAlign w:val="center"/>
          </w:tcPr>
          <w:p w14:paraId="330FB26A" w14:textId="77777777" w:rsidR="00CB09B4" w:rsidRDefault="00CB09B4" w:rsidP="00C03825">
            <w:pPr>
              <w:spacing w:after="0" w:line="240" w:lineRule="auto"/>
              <w:ind w:firstLine="30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III. Tiesību akta projekta ietekme uz valsts budžetu un pašvaldību budžetiem</w:t>
            </w:r>
          </w:p>
        </w:tc>
      </w:tr>
      <w:tr w:rsidR="00CB09B4" w14:paraId="30153AF7" w14:textId="77777777" w:rsidTr="00F74A3F">
        <w:trPr>
          <w:trHeight w:val="394"/>
        </w:trPr>
        <w:tc>
          <w:tcPr>
            <w:tcW w:w="5000" w:type="pct"/>
            <w:tcBorders>
              <w:top w:val="outset" w:sz="6" w:space="0" w:color="414142"/>
              <w:bottom w:val="outset" w:sz="6" w:space="0" w:color="414142"/>
            </w:tcBorders>
          </w:tcPr>
          <w:p w14:paraId="32382CA3" w14:textId="77777777" w:rsidR="00CB09B4" w:rsidRDefault="00CB09B4" w:rsidP="00C03825">
            <w:pPr>
              <w:spacing w:after="0" w:line="240" w:lineRule="auto"/>
              <w:ind w:firstLine="301"/>
              <w:jc w:val="center"/>
              <w:rPr>
                <w:rFonts w:ascii="Times New Roman" w:hAnsi="Times New Roman" w:cs="Times New Roman"/>
                <w:sz w:val="24"/>
                <w:szCs w:val="24"/>
                <w:lang w:eastAsia="lv-LV"/>
              </w:rPr>
            </w:pPr>
            <w:r>
              <w:rPr>
                <w:rFonts w:ascii="Times New Roman" w:hAnsi="Times New Roman" w:cs="Times New Roman"/>
                <w:sz w:val="24"/>
                <w:szCs w:val="24"/>
                <w:lang w:eastAsia="lv-LV"/>
              </w:rPr>
              <w:t>Projekts šo jomu neskar.</w:t>
            </w:r>
          </w:p>
        </w:tc>
      </w:tr>
    </w:tbl>
    <w:p w14:paraId="7378E37E" w14:textId="18C04E41" w:rsidR="00F74A3F" w:rsidRDefault="00F74A3F" w:rsidP="007F3370">
      <w:pPr>
        <w:spacing w:after="0" w:line="240" w:lineRule="auto"/>
        <w:jc w:val="both"/>
        <w:rPr>
          <w:rFonts w:ascii="Times New Roman" w:hAnsi="Times New Roman" w:cs="Times New Roman"/>
          <w:color w:val="000000"/>
          <w:sz w:val="24"/>
          <w:szCs w:val="24"/>
          <w:highlight w:val="yellow"/>
          <w:lang w:eastAsia="lv-LV"/>
        </w:rPr>
      </w:pPr>
    </w:p>
    <w:tbl>
      <w:tblPr>
        <w:tblW w:w="5245"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3"/>
        <w:gridCol w:w="3089"/>
        <w:gridCol w:w="5807"/>
      </w:tblGrid>
      <w:tr w:rsidR="00976373" w:rsidRPr="003B28D8" w14:paraId="367F870F" w14:textId="77777777" w:rsidTr="00976373">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6FA8B6F3" w14:textId="77777777" w:rsidR="00976373" w:rsidRPr="003B28D8" w:rsidRDefault="00976373" w:rsidP="005B10E4">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Pr="003B28D8">
              <w:rPr>
                <w:rFonts w:ascii="Times New Roman" w:eastAsia="Times New Roman" w:hAnsi="Times New Roman" w:cs="Times New Roman"/>
                <w:b/>
                <w:bCs/>
                <w:iCs/>
                <w:sz w:val="24"/>
                <w:szCs w:val="24"/>
                <w:lang w:eastAsia="lv-LV"/>
              </w:rPr>
              <w:t>IV. Tiesību akta projekta ietekme uz spēkā esošo tiesību normu sistēmu</w:t>
            </w:r>
          </w:p>
        </w:tc>
      </w:tr>
      <w:tr w:rsidR="00976373" w:rsidRPr="008A5415" w14:paraId="66880952"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56D0AD0" w14:textId="77777777" w:rsidR="00976373" w:rsidRPr="008A5415" w:rsidRDefault="00976373" w:rsidP="005B10E4">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1.</w:t>
            </w:r>
          </w:p>
        </w:tc>
        <w:tc>
          <w:tcPr>
            <w:tcW w:w="1621" w:type="pct"/>
            <w:tcBorders>
              <w:top w:val="outset" w:sz="6" w:space="0" w:color="auto"/>
              <w:left w:val="outset" w:sz="6" w:space="0" w:color="auto"/>
              <w:bottom w:val="outset" w:sz="6" w:space="0" w:color="auto"/>
              <w:right w:val="outset" w:sz="6" w:space="0" w:color="auto"/>
            </w:tcBorders>
            <w:hideMark/>
          </w:tcPr>
          <w:p w14:paraId="5344A886" w14:textId="77777777" w:rsidR="00976373" w:rsidRPr="008A5415" w:rsidRDefault="00976373" w:rsidP="005B10E4">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Saistītie tiesību aktu projekti</w:t>
            </w:r>
          </w:p>
        </w:tc>
        <w:tc>
          <w:tcPr>
            <w:tcW w:w="3020" w:type="pct"/>
            <w:tcBorders>
              <w:top w:val="outset" w:sz="6" w:space="0" w:color="auto"/>
              <w:left w:val="outset" w:sz="6" w:space="0" w:color="auto"/>
              <w:bottom w:val="outset" w:sz="6" w:space="0" w:color="auto"/>
              <w:right w:val="outset" w:sz="6" w:space="0" w:color="auto"/>
            </w:tcBorders>
          </w:tcPr>
          <w:p w14:paraId="0C020A27" w14:textId="77777777" w:rsidR="00976373" w:rsidRPr="00976373" w:rsidRDefault="00976373" w:rsidP="005B10E4">
            <w:pPr>
              <w:pStyle w:val="NoSpacing"/>
              <w:tabs>
                <w:tab w:val="left" w:pos="5069"/>
              </w:tabs>
              <w:ind w:left="79"/>
              <w:jc w:val="both"/>
              <w:rPr>
                <w:rFonts w:ascii="Times New Roman" w:hAnsi="Times New Roman" w:cs="Times New Roman"/>
                <w:sz w:val="24"/>
                <w:szCs w:val="24"/>
              </w:rPr>
            </w:pPr>
            <w:r w:rsidRPr="00976373">
              <w:rPr>
                <w:rFonts w:ascii="Times New Roman" w:eastAsia="Times New Roman" w:hAnsi="Times New Roman" w:cs="Times New Roman"/>
                <w:iCs/>
                <w:sz w:val="24"/>
                <w:szCs w:val="24"/>
                <w:lang w:eastAsia="lv-LV"/>
              </w:rPr>
              <w:t xml:space="preserve">2020.gada 30.decembrī ir stājies spēkā likums </w:t>
            </w:r>
            <w:r w:rsidRPr="00976373">
              <w:rPr>
                <w:rFonts w:ascii="Times New Roman" w:hAnsi="Times New Roman" w:cs="Times New Roman"/>
                <w:iCs/>
                <w:sz w:val="24"/>
                <w:szCs w:val="24"/>
              </w:rPr>
              <w:t>“Grozījumi Sabiedriskā transporta pakalpojumu likumā” (687/lp13), kurā ietverti grozījumi, noteic, ka Ministru kabinets nosaka:</w:t>
            </w:r>
            <w:r w:rsidRPr="00976373">
              <w:rPr>
                <w:rFonts w:ascii="Times New Roman" w:hAnsi="Times New Roman" w:cs="Times New Roman"/>
                <w:iCs/>
                <w:sz w:val="24"/>
                <w:szCs w:val="24"/>
              </w:rPr>
              <w:br/>
            </w:r>
            <w:r w:rsidRPr="00976373">
              <w:rPr>
                <w:rFonts w:ascii="Times New Roman" w:hAnsi="Times New Roman" w:cs="Times New Roman"/>
                <w:sz w:val="24"/>
                <w:szCs w:val="24"/>
              </w:rPr>
              <w:t>1. prasības attiecībā uz pakalpojumu sniegšanai komerciālajos maršrutos (reisos) izmantojamo transportlīdzekļu vecumu un aprīkojumu, pakalpojuma sniegšanu komerciālajā maršrutā (reisā);</w:t>
            </w:r>
          </w:p>
          <w:p w14:paraId="454C3C1B" w14:textId="77777777" w:rsidR="00976373" w:rsidRPr="00976373" w:rsidRDefault="00976373" w:rsidP="005B10E4">
            <w:pPr>
              <w:pStyle w:val="NoSpacing"/>
              <w:tabs>
                <w:tab w:val="left" w:pos="5069"/>
              </w:tabs>
              <w:ind w:left="79"/>
              <w:jc w:val="both"/>
              <w:rPr>
                <w:rFonts w:ascii="Times New Roman" w:hAnsi="Times New Roman" w:cs="Times New Roman"/>
                <w:sz w:val="24"/>
                <w:szCs w:val="24"/>
              </w:rPr>
            </w:pPr>
            <w:r w:rsidRPr="00976373">
              <w:rPr>
                <w:rFonts w:ascii="Times New Roman" w:hAnsi="Times New Roman" w:cs="Times New Roman"/>
                <w:sz w:val="24"/>
                <w:szCs w:val="24"/>
              </w:rPr>
              <w:t>2.  prasības attiecībā uz biļešu tirdzniecību komerciālajos maršrutos (reisos);</w:t>
            </w:r>
          </w:p>
          <w:p w14:paraId="18AAABA8" w14:textId="77777777" w:rsidR="00976373" w:rsidRPr="00976373" w:rsidRDefault="00976373" w:rsidP="005B10E4">
            <w:pPr>
              <w:pStyle w:val="NoSpacing"/>
              <w:tabs>
                <w:tab w:val="left" w:pos="5069"/>
              </w:tabs>
              <w:ind w:left="79"/>
              <w:jc w:val="both"/>
              <w:rPr>
                <w:rFonts w:ascii="Times New Roman" w:hAnsi="Times New Roman" w:cs="Times New Roman"/>
                <w:iCs/>
                <w:sz w:val="24"/>
                <w:szCs w:val="24"/>
              </w:rPr>
            </w:pPr>
            <w:r w:rsidRPr="00976373">
              <w:rPr>
                <w:rFonts w:ascii="Times New Roman" w:hAnsi="Times New Roman" w:cs="Times New Roman"/>
                <w:iCs/>
                <w:sz w:val="24"/>
                <w:szCs w:val="24"/>
              </w:rPr>
              <w:t xml:space="preserve">3. </w:t>
            </w:r>
            <w:r w:rsidRPr="00976373">
              <w:rPr>
                <w:rFonts w:ascii="Times New Roman" w:hAnsi="Times New Roman" w:cs="Times New Roman"/>
                <w:sz w:val="24"/>
                <w:szCs w:val="24"/>
              </w:rPr>
              <w:t>maršruta atļaujas saņemšanai iesniedzamā pieteikuma formu un tajā sniedzamās informācijas apjomu.</w:t>
            </w:r>
          </w:p>
        </w:tc>
      </w:tr>
      <w:tr w:rsidR="00976373" w:rsidRPr="008A5415" w14:paraId="52B76B2B"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BDA7EF6"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2.</w:t>
            </w:r>
          </w:p>
        </w:tc>
        <w:tc>
          <w:tcPr>
            <w:tcW w:w="1621" w:type="pct"/>
            <w:tcBorders>
              <w:top w:val="outset" w:sz="6" w:space="0" w:color="auto"/>
              <w:left w:val="outset" w:sz="6" w:space="0" w:color="auto"/>
              <w:bottom w:val="outset" w:sz="6" w:space="0" w:color="auto"/>
              <w:right w:val="outset" w:sz="6" w:space="0" w:color="auto"/>
            </w:tcBorders>
            <w:hideMark/>
          </w:tcPr>
          <w:p w14:paraId="5845539F"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Atbildīgā institūcija</w:t>
            </w:r>
          </w:p>
        </w:tc>
        <w:tc>
          <w:tcPr>
            <w:tcW w:w="3020" w:type="pct"/>
            <w:tcBorders>
              <w:top w:val="outset" w:sz="6" w:space="0" w:color="auto"/>
              <w:left w:val="outset" w:sz="6" w:space="0" w:color="auto"/>
              <w:bottom w:val="outset" w:sz="6" w:space="0" w:color="auto"/>
              <w:right w:val="outset" w:sz="6" w:space="0" w:color="auto"/>
            </w:tcBorders>
            <w:hideMark/>
          </w:tcPr>
          <w:p w14:paraId="76A5D3B3"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Satiksmes ministrija</w:t>
            </w:r>
            <w:r w:rsidRPr="003B28D8">
              <w:rPr>
                <w:rFonts w:ascii="Times New Roman" w:eastAsia="Times New Roman" w:hAnsi="Times New Roman" w:cs="Times New Roman"/>
                <w:sz w:val="24"/>
                <w:szCs w:val="24"/>
                <w:lang w:eastAsia="lv-LV"/>
              </w:rPr>
              <w:t>.</w:t>
            </w:r>
          </w:p>
        </w:tc>
      </w:tr>
      <w:tr w:rsidR="00976373" w:rsidRPr="008A5415" w14:paraId="397C5D1B"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1973540"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3.</w:t>
            </w:r>
          </w:p>
        </w:tc>
        <w:tc>
          <w:tcPr>
            <w:tcW w:w="1621" w:type="pct"/>
            <w:tcBorders>
              <w:top w:val="outset" w:sz="6" w:space="0" w:color="auto"/>
              <w:left w:val="outset" w:sz="6" w:space="0" w:color="auto"/>
              <w:bottom w:val="outset" w:sz="6" w:space="0" w:color="auto"/>
              <w:right w:val="outset" w:sz="6" w:space="0" w:color="auto"/>
            </w:tcBorders>
            <w:hideMark/>
          </w:tcPr>
          <w:p w14:paraId="00E2AFEC"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Cita informācija</w:t>
            </w:r>
          </w:p>
        </w:tc>
        <w:tc>
          <w:tcPr>
            <w:tcW w:w="3020" w:type="pct"/>
            <w:tcBorders>
              <w:top w:val="outset" w:sz="6" w:space="0" w:color="auto"/>
              <w:left w:val="outset" w:sz="6" w:space="0" w:color="auto"/>
              <w:bottom w:val="outset" w:sz="6" w:space="0" w:color="auto"/>
              <w:right w:val="outset" w:sz="6" w:space="0" w:color="auto"/>
            </w:tcBorders>
            <w:hideMark/>
          </w:tcPr>
          <w:p w14:paraId="138391C8"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Nav.</w:t>
            </w:r>
          </w:p>
        </w:tc>
      </w:tr>
    </w:tbl>
    <w:p w14:paraId="2486D4BA" w14:textId="77777777" w:rsidR="00976373" w:rsidRDefault="00976373" w:rsidP="007F3370">
      <w:pPr>
        <w:spacing w:after="0" w:line="240" w:lineRule="auto"/>
        <w:jc w:val="both"/>
        <w:rPr>
          <w:rFonts w:ascii="Times New Roman" w:hAnsi="Times New Roman" w:cs="Times New Roman"/>
          <w:color w:val="000000"/>
          <w:sz w:val="24"/>
          <w:szCs w:val="24"/>
          <w:highlight w:val="yellow"/>
          <w:lang w:eastAsia="lv-LV"/>
        </w:rPr>
      </w:pPr>
    </w:p>
    <w:p w14:paraId="1D35CFB5" w14:textId="77777777" w:rsidR="00F74A3F" w:rsidRDefault="00F74A3F" w:rsidP="007F3370">
      <w:pPr>
        <w:spacing w:after="0" w:line="240" w:lineRule="auto"/>
        <w:jc w:val="both"/>
        <w:rPr>
          <w:rFonts w:ascii="Times New Roman" w:hAnsi="Times New Roman" w:cs="Times New Roman"/>
          <w:color w:val="000000"/>
          <w:sz w:val="24"/>
          <w:szCs w:val="24"/>
          <w:highlight w:val="yellow"/>
          <w:lang w:eastAsia="lv-LV"/>
        </w:rPr>
      </w:pPr>
    </w:p>
    <w:tbl>
      <w:tblPr>
        <w:tblW w:w="94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2"/>
        <w:gridCol w:w="483"/>
        <w:gridCol w:w="2921"/>
        <w:gridCol w:w="5802"/>
      </w:tblGrid>
      <w:tr w:rsidR="00690E91" w14:paraId="717EB2DA" w14:textId="77777777" w:rsidTr="00690E91">
        <w:trPr>
          <w:trHeight w:val="421"/>
        </w:trPr>
        <w:tc>
          <w:tcPr>
            <w:tcW w:w="9488" w:type="dxa"/>
            <w:gridSpan w:val="4"/>
            <w:tcBorders>
              <w:top w:val="single" w:sz="4" w:space="0" w:color="auto"/>
              <w:left w:val="single" w:sz="4" w:space="0" w:color="auto"/>
              <w:bottom w:val="single" w:sz="4" w:space="0" w:color="auto"/>
              <w:right w:val="single" w:sz="4" w:space="0" w:color="auto"/>
            </w:tcBorders>
          </w:tcPr>
          <w:p w14:paraId="72B05375" w14:textId="77777777" w:rsidR="00690E91" w:rsidRPr="00690E91" w:rsidRDefault="00690E91" w:rsidP="00690E91">
            <w:pPr>
              <w:spacing w:after="0" w:line="240" w:lineRule="auto"/>
              <w:ind w:left="57" w:right="57"/>
              <w:jc w:val="center"/>
              <w:rPr>
                <w:rFonts w:ascii="Times New Roman" w:hAnsi="Times New Roman" w:cs="Times New Roman"/>
                <w:b/>
                <w:bCs/>
                <w:color w:val="414142"/>
                <w:sz w:val="24"/>
                <w:szCs w:val="24"/>
                <w:shd w:val="clear" w:color="auto" w:fill="FFFFFF"/>
              </w:rPr>
            </w:pPr>
            <w:r w:rsidRPr="00690E91">
              <w:rPr>
                <w:rFonts w:ascii="Times New Roman" w:hAnsi="Times New Roman" w:cs="Times New Roman"/>
                <w:b/>
                <w:bCs/>
                <w:color w:val="414142"/>
                <w:sz w:val="24"/>
                <w:szCs w:val="24"/>
                <w:shd w:val="clear" w:color="auto" w:fill="FFFFFF"/>
              </w:rPr>
              <w:t>V. Tiesību akta projekta atbilstība Latvijas Republikas starptautiskajām saistībām</w:t>
            </w:r>
          </w:p>
        </w:tc>
      </w:tr>
      <w:tr w:rsidR="00690E91" w14:paraId="0393AEE4"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9206" w:type="dxa"/>
            <w:gridSpan w:val="3"/>
            <w:tcBorders>
              <w:top w:val="outset" w:sz="6" w:space="0" w:color="auto"/>
              <w:left w:val="outset" w:sz="6" w:space="0" w:color="auto"/>
              <w:bottom w:val="outset" w:sz="6" w:space="0" w:color="auto"/>
              <w:right w:val="outset" w:sz="6" w:space="0" w:color="auto"/>
            </w:tcBorders>
            <w:vAlign w:val="center"/>
            <w:hideMark/>
          </w:tcPr>
          <w:p w14:paraId="0010121E" w14:textId="77777777" w:rsidR="00690E91" w:rsidRPr="00690E91" w:rsidRDefault="00690E91" w:rsidP="00E043AC">
            <w:pPr>
              <w:rPr>
                <w:rFonts w:ascii="Times New Roman" w:hAnsi="Times New Roman" w:cs="Times New Roman"/>
                <w:b/>
                <w:bCs/>
                <w:sz w:val="24"/>
                <w:szCs w:val="24"/>
              </w:rPr>
            </w:pPr>
            <w:r w:rsidRPr="00690E91">
              <w:rPr>
                <w:rFonts w:ascii="Times New Roman" w:hAnsi="Times New Roman" w:cs="Times New Roman"/>
                <w:sz w:val="24"/>
                <w:szCs w:val="24"/>
              </w:rPr>
              <w:t>Projekts šo jomu neskar.</w:t>
            </w:r>
          </w:p>
        </w:tc>
      </w:tr>
      <w:tr w:rsidR="00041317" w:rsidRPr="00041317" w14:paraId="1171BBC5" w14:textId="77777777" w:rsidTr="00690E91">
        <w:trPr>
          <w:trHeight w:val="421"/>
        </w:trPr>
        <w:tc>
          <w:tcPr>
            <w:tcW w:w="9488" w:type="dxa"/>
            <w:gridSpan w:val="4"/>
          </w:tcPr>
          <w:p w14:paraId="17040CF4" w14:textId="77777777" w:rsidR="00041317" w:rsidRPr="00041317" w:rsidRDefault="00CB09B4" w:rsidP="00041317">
            <w:pPr>
              <w:spacing w:after="0" w:line="240" w:lineRule="auto"/>
              <w:ind w:left="57" w:right="57"/>
              <w:jc w:val="center"/>
              <w:rPr>
                <w:rFonts w:ascii="Times New Roman" w:hAnsi="Times New Roman" w:cs="Times New Roman"/>
                <w:color w:val="000000"/>
                <w:sz w:val="24"/>
                <w:szCs w:val="24"/>
                <w:lang w:eastAsia="lv-LV"/>
              </w:rPr>
            </w:pPr>
            <w:r>
              <w:rPr>
                <w:rFonts w:ascii="Arial" w:hAnsi="Arial" w:cs="Arial"/>
                <w:color w:val="414142"/>
                <w:shd w:val="clear" w:color="auto" w:fill="FFFFFF"/>
              </w:rPr>
              <w:t> </w:t>
            </w:r>
            <w:r w:rsidR="00041317" w:rsidRPr="00041317">
              <w:rPr>
                <w:rFonts w:ascii="Times New Roman" w:hAnsi="Times New Roman" w:cs="Times New Roman"/>
                <w:b/>
                <w:bCs/>
                <w:color w:val="000000"/>
                <w:sz w:val="24"/>
                <w:szCs w:val="24"/>
                <w:lang w:eastAsia="lv-LV"/>
              </w:rPr>
              <w:t>VI. Sabiedrības līdzdalība un komunikācijas aktivitātes</w:t>
            </w:r>
          </w:p>
        </w:tc>
      </w:tr>
      <w:tr w:rsidR="00041317" w:rsidRPr="00041317" w14:paraId="061A886E" w14:textId="77777777" w:rsidTr="00690E91">
        <w:trPr>
          <w:trHeight w:val="1473"/>
        </w:trPr>
        <w:tc>
          <w:tcPr>
            <w:tcW w:w="765" w:type="dxa"/>
            <w:gridSpan w:val="2"/>
          </w:tcPr>
          <w:p w14:paraId="533D20D9"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highlight w:val="green"/>
                <w:lang w:eastAsia="lv-LV"/>
              </w:rPr>
            </w:pPr>
            <w:r w:rsidRPr="00041317">
              <w:rPr>
                <w:rFonts w:ascii="Times New Roman" w:hAnsi="Times New Roman" w:cs="Times New Roman"/>
                <w:color w:val="000000"/>
                <w:sz w:val="24"/>
                <w:szCs w:val="24"/>
                <w:lang w:eastAsia="lv-LV"/>
              </w:rPr>
              <w:t>1.</w:t>
            </w:r>
          </w:p>
        </w:tc>
        <w:tc>
          <w:tcPr>
            <w:tcW w:w="2921" w:type="dxa"/>
          </w:tcPr>
          <w:p w14:paraId="6B220C15" w14:textId="77777777" w:rsidR="00041317" w:rsidRPr="00041317" w:rsidRDefault="00041317" w:rsidP="00041317">
            <w:pPr>
              <w:tabs>
                <w:tab w:val="left" w:pos="170"/>
              </w:tabs>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Plānotās sabiedrības līdzdalības un komunikācijas aktivitātes saistībā ar projektu</w:t>
            </w:r>
            <w:r w:rsidR="002107A0">
              <w:rPr>
                <w:rFonts w:ascii="Times New Roman" w:hAnsi="Times New Roman" w:cs="Times New Roman"/>
                <w:color w:val="000000"/>
                <w:sz w:val="24"/>
                <w:szCs w:val="24"/>
                <w:lang w:eastAsia="lv-LV"/>
              </w:rPr>
              <w:t>.</w:t>
            </w:r>
          </w:p>
        </w:tc>
        <w:tc>
          <w:tcPr>
            <w:tcW w:w="5802" w:type="dxa"/>
          </w:tcPr>
          <w:p w14:paraId="14366703" w14:textId="3A965B17" w:rsidR="00041317" w:rsidRPr="00041317" w:rsidRDefault="00041317" w:rsidP="0043397D">
            <w:pPr>
              <w:shd w:val="clear" w:color="auto" w:fill="FFFFFF"/>
              <w:spacing w:after="0" w:line="240" w:lineRule="auto"/>
              <w:ind w:right="124"/>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Atbilstoši Ministru kabineta 2009.</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gada 25.</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augusta noteikumiem Nr.</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970 „Sabiedrības līdzdalības kārtība attīstības plānošanas procesā” 7.4.</w:t>
            </w:r>
            <w:r w:rsidRPr="00041317">
              <w:rPr>
                <w:rFonts w:ascii="Times New Roman" w:hAnsi="Times New Roman" w:cs="Times New Roman"/>
                <w:color w:val="000000"/>
                <w:sz w:val="24"/>
                <w:szCs w:val="24"/>
                <w:vertAlign w:val="superscript"/>
                <w:lang w:eastAsia="lv-LV"/>
              </w:rPr>
              <w:t>1</w:t>
            </w:r>
            <w:r w:rsidR="00F74A3F">
              <w:rPr>
                <w:rFonts w:ascii="Times New Roman" w:hAnsi="Times New Roman" w:cs="Times New Roman"/>
                <w:color w:val="000000"/>
                <w:sz w:val="24"/>
                <w:szCs w:val="24"/>
                <w:vertAlign w:val="superscript"/>
                <w:lang w:eastAsia="lv-LV"/>
              </w:rPr>
              <w:t> </w:t>
            </w:r>
            <w:r w:rsidRPr="00041317">
              <w:rPr>
                <w:rFonts w:ascii="Times New Roman" w:hAnsi="Times New Roman" w:cs="Times New Roman"/>
                <w:color w:val="000000"/>
                <w:sz w:val="24"/>
                <w:szCs w:val="24"/>
                <w:lang w:eastAsia="lv-LV"/>
              </w:rPr>
              <w:t>apakšpunktam sabiedrībai tika dota iespēja rakstiski sniegt viedokli par likumprojektu tā izstrādes stadijā.</w:t>
            </w:r>
          </w:p>
        </w:tc>
      </w:tr>
      <w:tr w:rsidR="00041317" w:rsidRPr="00041317" w14:paraId="47AD51A8" w14:textId="77777777" w:rsidTr="00690E91">
        <w:trPr>
          <w:trHeight w:val="339"/>
        </w:trPr>
        <w:tc>
          <w:tcPr>
            <w:tcW w:w="765" w:type="dxa"/>
            <w:gridSpan w:val="2"/>
          </w:tcPr>
          <w:p w14:paraId="42F08920"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highlight w:val="green"/>
                <w:lang w:eastAsia="lv-LV"/>
              </w:rPr>
            </w:pPr>
            <w:r w:rsidRPr="00041317">
              <w:rPr>
                <w:rFonts w:ascii="Times New Roman" w:hAnsi="Times New Roman" w:cs="Times New Roman"/>
                <w:color w:val="000000"/>
                <w:sz w:val="24"/>
                <w:szCs w:val="24"/>
                <w:lang w:eastAsia="lv-LV"/>
              </w:rPr>
              <w:t>2.</w:t>
            </w:r>
          </w:p>
        </w:tc>
        <w:tc>
          <w:tcPr>
            <w:tcW w:w="2921" w:type="dxa"/>
          </w:tcPr>
          <w:p w14:paraId="20C96E10"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Sabiedrības līdzdalība projekta izstrādē</w:t>
            </w:r>
            <w:r w:rsidR="002107A0">
              <w:rPr>
                <w:rFonts w:ascii="Times New Roman" w:hAnsi="Times New Roman" w:cs="Times New Roman"/>
                <w:color w:val="000000"/>
                <w:sz w:val="24"/>
                <w:szCs w:val="24"/>
                <w:lang w:eastAsia="lv-LV"/>
              </w:rPr>
              <w:t>.</w:t>
            </w:r>
          </w:p>
        </w:tc>
        <w:tc>
          <w:tcPr>
            <w:tcW w:w="5802" w:type="dxa"/>
          </w:tcPr>
          <w:p w14:paraId="368FDA0F" w14:textId="1FE9527C" w:rsidR="00041317" w:rsidRPr="00041317" w:rsidRDefault="00041317" w:rsidP="0043397D">
            <w:pPr>
              <w:shd w:val="clear" w:color="auto" w:fill="FFFFFF"/>
              <w:spacing w:after="0" w:line="240" w:lineRule="auto"/>
              <w:ind w:right="124"/>
              <w:jc w:val="both"/>
              <w:rPr>
                <w:rFonts w:ascii="Times New Roman" w:hAnsi="Times New Roman" w:cs="Times New Roman"/>
                <w:color w:val="000000"/>
                <w:sz w:val="24"/>
                <w:szCs w:val="24"/>
                <w:lang w:eastAsia="lv-LV"/>
              </w:rPr>
            </w:pPr>
            <w:bookmarkStart w:id="3" w:name="p62"/>
            <w:bookmarkEnd w:id="3"/>
            <w:r w:rsidRPr="0040738D">
              <w:rPr>
                <w:rFonts w:ascii="Times New Roman" w:hAnsi="Times New Roman" w:cs="Times New Roman"/>
                <w:color w:val="000000"/>
                <w:sz w:val="24"/>
                <w:szCs w:val="24"/>
                <w:lang w:eastAsia="lv-LV"/>
              </w:rPr>
              <w:t>Ministru kabineta noteikumu projekts un tā sākotnējās ietekmes novērtējuma ziņojums (anotācija) 202</w:t>
            </w:r>
            <w:r w:rsidR="00976373" w:rsidRPr="0040738D">
              <w:rPr>
                <w:rFonts w:ascii="Times New Roman" w:hAnsi="Times New Roman" w:cs="Times New Roman"/>
                <w:color w:val="000000"/>
                <w:sz w:val="24"/>
                <w:szCs w:val="24"/>
                <w:lang w:eastAsia="lv-LV"/>
              </w:rPr>
              <w:t>1</w:t>
            </w:r>
            <w:r w:rsidRPr="0040738D">
              <w:rPr>
                <w:rFonts w:ascii="Times New Roman" w:hAnsi="Times New Roman" w:cs="Times New Roman"/>
                <w:color w:val="000000"/>
                <w:sz w:val="24"/>
                <w:szCs w:val="24"/>
                <w:lang w:eastAsia="lv-LV"/>
              </w:rPr>
              <w:t xml:space="preserve">. gada </w:t>
            </w:r>
            <w:r w:rsidR="0040738D" w:rsidRPr="0040738D">
              <w:rPr>
                <w:rFonts w:ascii="Times New Roman" w:hAnsi="Times New Roman" w:cs="Times New Roman"/>
                <w:color w:val="000000"/>
                <w:sz w:val="24"/>
                <w:szCs w:val="24"/>
                <w:lang w:eastAsia="lv-LV"/>
              </w:rPr>
              <w:t>22.</w:t>
            </w:r>
            <w:r w:rsidRPr="0040738D">
              <w:rPr>
                <w:rFonts w:ascii="Times New Roman" w:hAnsi="Times New Roman" w:cs="Times New Roman"/>
                <w:color w:val="000000"/>
                <w:sz w:val="24"/>
                <w:szCs w:val="24"/>
                <w:lang w:eastAsia="lv-LV"/>
              </w:rPr>
              <w:t xml:space="preserve"> </w:t>
            </w:r>
            <w:r w:rsidR="00976373" w:rsidRPr="0040738D">
              <w:rPr>
                <w:rFonts w:ascii="Times New Roman" w:hAnsi="Times New Roman" w:cs="Times New Roman"/>
                <w:color w:val="000000"/>
                <w:sz w:val="24"/>
                <w:szCs w:val="24"/>
                <w:lang w:eastAsia="lv-LV"/>
              </w:rPr>
              <w:t xml:space="preserve">martā </w:t>
            </w:r>
            <w:r w:rsidRPr="0040738D">
              <w:rPr>
                <w:rFonts w:ascii="Times New Roman" w:hAnsi="Times New Roman" w:cs="Times New Roman"/>
                <w:color w:val="000000"/>
                <w:sz w:val="24"/>
                <w:szCs w:val="24"/>
                <w:lang w:eastAsia="lv-LV"/>
              </w:rPr>
              <w:t>tika ievietots tīmekļa vietnē</w:t>
            </w:r>
            <w:r w:rsidR="00976373" w:rsidRPr="0040738D">
              <w:rPr>
                <w:rFonts w:ascii="Times New Roman" w:hAnsi="Times New Roman" w:cs="Times New Roman"/>
                <w:color w:val="000000"/>
                <w:sz w:val="24"/>
                <w:szCs w:val="24"/>
                <w:lang w:eastAsia="lv-LV"/>
              </w:rPr>
              <w:t xml:space="preserve">: </w:t>
            </w:r>
            <w:hyperlink r:id="rId8" w:history="1">
              <w:r w:rsidR="0040738D" w:rsidRPr="0040738D">
                <w:rPr>
                  <w:rStyle w:val="Hyperlink"/>
                  <w:rFonts w:ascii="Times New Roman" w:hAnsi="Times New Roman" w:cs="Times New Roman"/>
                  <w:sz w:val="24"/>
                  <w:szCs w:val="24"/>
                  <w:lang w:eastAsia="lv-LV"/>
                </w:rPr>
                <w:t>https://www.sam.gov.lv/lv/izstrade-esosie-attistibas-planosanas-dokumenti-un-tiesibu-akti</w:t>
              </w:r>
            </w:hyperlink>
            <w:r w:rsidR="0040738D" w:rsidRPr="0040738D">
              <w:rPr>
                <w:rFonts w:ascii="Times New Roman" w:hAnsi="Times New Roman" w:cs="Times New Roman"/>
                <w:color w:val="000000"/>
                <w:sz w:val="24"/>
                <w:szCs w:val="24"/>
                <w:lang w:eastAsia="lv-LV"/>
              </w:rPr>
              <w:t>.</w:t>
            </w:r>
            <w:r w:rsidR="0040738D">
              <w:rPr>
                <w:rFonts w:ascii="Times New Roman" w:hAnsi="Times New Roman" w:cs="Times New Roman"/>
                <w:color w:val="000000"/>
                <w:sz w:val="24"/>
                <w:szCs w:val="24"/>
                <w:lang w:eastAsia="lv-LV"/>
              </w:rPr>
              <w:t xml:space="preserve"> </w:t>
            </w:r>
          </w:p>
        </w:tc>
      </w:tr>
      <w:tr w:rsidR="00041317" w:rsidRPr="00041317" w14:paraId="0FC10E7B" w14:textId="77777777" w:rsidTr="00690E91">
        <w:trPr>
          <w:trHeight w:val="476"/>
        </w:trPr>
        <w:tc>
          <w:tcPr>
            <w:tcW w:w="765" w:type="dxa"/>
            <w:gridSpan w:val="2"/>
          </w:tcPr>
          <w:p w14:paraId="5F227C8F"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3.</w:t>
            </w:r>
          </w:p>
        </w:tc>
        <w:tc>
          <w:tcPr>
            <w:tcW w:w="2921" w:type="dxa"/>
          </w:tcPr>
          <w:p w14:paraId="491174AE"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Sabiedrības līdzdalības rezultāti</w:t>
            </w:r>
            <w:r w:rsidR="002107A0">
              <w:rPr>
                <w:rFonts w:ascii="Times New Roman" w:hAnsi="Times New Roman" w:cs="Times New Roman"/>
                <w:color w:val="000000"/>
                <w:sz w:val="24"/>
                <w:szCs w:val="24"/>
                <w:lang w:eastAsia="lv-LV"/>
              </w:rPr>
              <w:t>.</w:t>
            </w:r>
          </w:p>
        </w:tc>
        <w:tc>
          <w:tcPr>
            <w:tcW w:w="5802" w:type="dxa"/>
          </w:tcPr>
          <w:p w14:paraId="3DB62548" w14:textId="40B6C564" w:rsidR="00485663" w:rsidRPr="00DE155F" w:rsidRDefault="009640B5" w:rsidP="00DE155F">
            <w:pPr>
              <w:shd w:val="clear" w:color="auto" w:fill="FFFFFF"/>
              <w:spacing w:after="0" w:line="240" w:lineRule="auto"/>
              <w:ind w:right="124"/>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Noteikumu projekts daļēji ir saskaņot</w:t>
            </w:r>
            <w:r w:rsidR="007003D8">
              <w:rPr>
                <w:rFonts w:ascii="Times New Roman" w:hAnsi="Times New Roman" w:cs="Times New Roman"/>
                <w:color w:val="000000"/>
                <w:sz w:val="24"/>
                <w:szCs w:val="24"/>
                <w:lang w:eastAsia="lv-LV"/>
              </w:rPr>
              <w:t>s</w:t>
            </w:r>
            <w:r>
              <w:rPr>
                <w:rFonts w:ascii="Times New Roman" w:hAnsi="Times New Roman" w:cs="Times New Roman"/>
                <w:color w:val="000000"/>
                <w:sz w:val="24"/>
                <w:szCs w:val="24"/>
                <w:lang w:eastAsia="lv-LV"/>
              </w:rPr>
              <w:t xml:space="preserve"> ar Latvijas Pasažieru pārvadātāju asociāciju (turpmāk</w:t>
            </w:r>
            <w:r w:rsidR="00A95072">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 LPPA)</w:t>
            </w:r>
            <w:r w:rsidR="007003D8">
              <w:rPr>
                <w:rFonts w:ascii="Times New Roman" w:hAnsi="Times New Roman" w:cs="Times New Roman"/>
                <w:color w:val="000000"/>
                <w:sz w:val="24"/>
                <w:szCs w:val="24"/>
                <w:lang w:eastAsia="lv-LV"/>
              </w:rPr>
              <w:t xml:space="preserve">. Noteikumu projekts izstrādē tika ņemts vērā LPPA priekšlikums attiecībā uz noteikumos lietoto autobusu kategorijas terminoloģiju ( M2 un M3), M3 kategorijas autobusu  vecumu, pasažieru apmaiņu </w:t>
            </w:r>
            <w:proofErr w:type="spellStart"/>
            <w:r w:rsidR="007003D8">
              <w:rPr>
                <w:rFonts w:ascii="Times New Roman" w:hAnsi="Times New Roman" w:cs="Times New Roman"/>
                <w:color w:val="000000"/>
                <w:sz w:val="24"/>
                <w:szCs w:val="24"/>
                <w:lang w:eastAsia="lv-LV"/>
              </w:rPr>
              <w:t>valstspilsētu</w:t>
            </w:r>
            <w:proofErr w:type="spellEnd"/>
            <w:r w:rsidR="007003D8">
              <w:rPr>
                <w:rFonts w:ascii="Times New Roman" w:hAnsi="Times New Roman" w:cs="Times New Roman"/>
                <w:color w:val="000000"/>
                <w:sz w:val="24"/>
                <w:szCs w:val="24"/>
                <w:lang w:eastAsia="lv-LV"/>
              </w:rPr>
              <w:t xml:space="preserve"> teritorijā</w:t>
            </w:r>
            <w:r w:rsidR="00DE155F">
              <w:rPr>
                <w:rFonts w:ascii="Times New Roman" w:hAnsi="Times New Roman" w:cs="Times New Roman"/>
                <w:color w:val="000000"/>
                <w:sz w:val="24"/>
                <w:szCs w:val="24"/>
                <w:lang w:eastAsia="lv-LV"/>
              </w:rPr>
              <w:t xml:space="preserve"> un precizēti maršruta atļaujas piešķiršanas termiņi. Kā arī tika ņemts vērā </w:t>
            </w:r>
            <w:r w:rsidR="00A95072">
              <w:rPr>
                <w:rFonts w:ascii="Times New Roman" w:hAnsi="Times New Roman" w:cs="Times New Roman"/>
                <w:color w:val="000000"/>
                <w:sz w:val="24"/>
                <w:szCs w:val="24"/>
                <w:lang w:eastAsia="lv-LV"/>
              </w:rPr>
              <w:t xml:space="preserve">LPPA </w:t>
            </w:r>
            <w:r w:rsidR="00DE155F">
              <w:rPr>
                <w:rFonts w:ascii="Times New Roman" w:hAnsi="Times New Roman" w:cs="Times New Roman"/>
                <w:color w:val="000000"/>
                <w:sz w:val="24"/>
                <w:szCs w:val="24"/>
                <w:lang w:eastAsia="lv-LV"/>
              </w:rPr>
              <w:t xml:space="preserve">priekšlikums attiecībā uz nepieciešamību izdot atsevišķus noteikumus.  </w:t>
            </w:r>
          </w:p>
        </w:tc>
      </w:tr>
      <w:tr w:rsidR="00041317" w:rsidRPr="00041317" w14:paraId="73259A98" w14:textId="77777777" w:rsidTr="00690E91">
        <w:trPr>
          <w:trHeight w:val="476"/>
        </w:trPr>
        <w:tc>
          <w:tcPr>
            <w:tcW w:w="765" w:type="dxa"/>
            <w:gridSpan w:val="2"/>
          </w:tcPr>
          <w:p w14:paraId="7C55378E"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4.</w:t>
            </w:r>
          </w:p>
        </w:tc>
        <w:tc>
          <w:tcPr>
            <w:tcW w:w="2921" w:type="dxa"/>
          </w:tcPr>
          <w:p w14:paraId="6C414F99"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Cita informācija</w:t>
            </w:r>
            <w:r w:rsidR="002107A0">
              <w:rPr>
                <w:rFonts w:ascii="Times New Roman" w:hAnsi="Times New Roman" w:cs="Times New Roman"/>
                <w:color w:val="000000"/>
                <w:sz w:val="24"/>
                <w:szCs w:val="24"/>
                <w:lang w:eastAsia="lv-LV"/>
              </w:rPr>
              <w:t>.</w:t>
            </w:r>
          </w:p>
        </w:tc>
        <w:tc>
          <w:tcPr>
            <w:tcW w:w="5802" w:type="dxa"/>
          </w:tcPr>
          <w:p w14:paraId="20979B18" w14:textId="77777777" w:rsidR="00041317" w:rsidRPr="00041317" w:rsidRDefault="00041317" w:rsidP="00041317">
            <w:pPr>
              <w:spacing w:after="0" w:line="240" w:lineRule="auto"/>
              <w:ind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540A0228" w14:textId="77777777" w:rsidR="00CB09B4" w:rsidRDefault="00CB09B4" w:rsidP="00B71945">
      <w:pPr>
        <w:spacing w:after="0" w:line="240" w:lineRule="auto"/>
        <w:jc w:val="both"/>
        <w:rPr>
          <w:rFonts w:ascii="Arial" w:hAnsi="Arial" w:cs="Arial"/>
          <w:color w:val="414142"/>
          <w:highlight w:val="yellow"/>
          <w:shd w:val="clear" w:color="auto" w:fill="FFFFFF"/>
        </w:rPr>
      </w:pPr>
    </w:p>
    <w:tbl>
      <w:tblPr>
        <w:tblW w:w="94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734"/>
        <w:gridCol w:w="2952"/>
        <w:gridCol w:w="5779"/>
      </w:tblGrid>
      <w:tr w:rsidR="00CB09B4" w:rsidRPr="0014329A" w14:paraId="1A3F395A" w14:textId="77777777" w:rsidTr="00D60294">
        <w:trPr>
          <w:trHeight w:val="381"/>
        </w:trPr>
        <w:tc>
          <w:tcPr>
            <w:tcW w:w="9465" w:type="dxa"/>
            <w:gridSpan w:val="3"/>
          </w:tcPr>
          <w:p w14:paraId="1F0191B3" w14:textId="77777777" w:rsidR="00CB09B4" w:rsidRPr="00E82963" w:rsidRDefault="00CB09B4" w:rsidP="007F3370">
            <w:pPr>
              <w:spacing w:after="0" w:line="240" w:lineRule="auto"/>
              <w:ind w:left="57" w:right="57"/>
              <w:jc w:val="center"/>
              <w:rPr>
                <w:rFonts w:ascii="Times New Roman" w:hAnsi="Times New Roman" w:cs="Times New Roman"/>
                <w:color w:val="000000"/>
                <w:sz w:val="24"/>
                <w:szCs w:val="24"/>
                <w:lang w:eastAsia="lv-LV"/>
              </w:rPr>
            </w:pPr>
            <w:r w:rsidRPr="00E82963">
              <w:rPr>
                <w:rFonts w:ascii="Times New Roman" w:hAnsi="Times New Roman" w:cs="Times New Roman"/>
                <w:b/>
                <w:bCs/>
                <w:color w:val="000000"/>
                <w:sz w:val="24"/>
                <w:szCs w:val="24"/>
                <w:lang w:eastAsia="lv-LV"/>
              </w:rPr>
              <w:t>VII. Tiesību akta projekta izpildes nodrošināšana un tās ietekme uz institūcijām</w:t>
            </w:r>
          </w:p>
        </w:tc>
      </w:tr>
      <w:tr w:rsidR="00CB09B4" w:rsidRPr="0014329A" w14:paraId="4947E0CC" w14:textId="77777777" w:rsidTr="00D60294">
        <w:trPr>
          <w:trHeight w:val="427"/>
        </w:trPr>
        <w:tc>
          <w:tcPr>
            <w:tcW w:w="734" w:type="dxa"/>
          </w:tcPr>
          <w:p w14:paraId="0687E374" w14:textId="77777777" w:rsidR="00CB09B4" w:rsidRPr="00E82963" w:rsidRDefault="00CB09B4"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952" w:type="dxa"/>
          </w:tcPr>
          <w:p w14:paraId="262D7DA2" w14:textId="77777777" w:rsidR="00CB09B4" w:rsidRPr="00E82963" w:rsidRDefault="00CB09B4"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izpildē iesaistītās institūcijas</w:t>
            </w:r>
            <w:r>
              <w:rPr>
                <w:rFonts w:ascii="Times New Roman" w:hAnsi="Times New Roman" w:cs="Times New Roman"/>
                <w:color w:val="000000"/>
                <w:sz w:val="24"/>
                <w:szCs w:val="24"/>
                <w:lang w:eastAsia="lv-LV"/>
              </w:rPr>
              <w:t>.</w:t>
            </w:r>
          </w:p>
        </w:tc>
        <w:tc>
          <w:tcPr>
            <w:tcW w:w="5779" w:type="dxa"/>
          </w:tcPr>
          <w:p w14:paraId="3A3974F0" w14:textId="78197365" w:rsidR="00CB09B4" w:rsidRPr="00E82963" w:rsidRDefault="00D60294" w:rsidP="0043397D">
            <w:pPr>
              <w:shd w:val="clear" w:color="auto" w:fill="FFFFFF"/>
              <w:spacing w:after="0" w:line="240" w:lineRule="auto"/>
              <w:jc w:val="both"/>
              <w:rPr>
                <w:rFonts w:ascii="Times New Roman" w:hAnsi="Times New Roman" w:cs="Times New Roman"/>
                <w:color w:val="000000"/>
                <w:sz w:val="24"/>
                <w:szCs w:val="24"/>
                <w:lang w:eastAsia="lv-LV"/>
              </w:rPr>
            </w:pPr>
            <w:bookmarkStart w:id="4" w:name="p69"/>
            <w:bookmarkStart w:id="5" w:name="p68"/>
            <w:bookmarkStart w:id="6" w:name="p67"/>
            <w:bookmarkStart w:id="7" w:name="p66"/>
            <w:bookmarkEnd w:id="4"/>
            <w:bookmarkEnd w:id="5"/>
            <w:bookmarkEnd w:id="6"/>
            <w:bookmarkEnd w:id="7"/>
            <w:r w:rsidRPr="00EB1153">
              <w:rPr>
                <w:rFonts w:ascii="Times New Roman" w:hAnsi="Times New Roman" w:cs="Times New Roman"/>
                <w:color w:val="000000"/>
                <w:sz w:val="24"/>
                <w:szCs w:val="24"/>
                <w:lang w:eastAsia="lv-LV"/>
              </w:rPr>
              <w:t xml:space="preserve">SIA “Autotransporta </w:t>
            </w:r>
            <w:r w:rsidR="00976373">
              <w:rPr>
                <w:rFonts w:ascii="Times New Roman" w:hAnsi="Times New Roman" w:cs="Times New Roman"/>
                <w:color w:val="000000"/>
                <w:sz w:val="24"/>
                <w:szCs w:val="24"/>
                <w:lang w:eastAsia="lv-LV"/>
              </w:rPr>
              <w:t>d</w:t>
            </w:r>
            <w:r w:rsidRPr="00EB1153">
              <w:rPr>
                <w:rFonts w:ascii="Times New Roman" w:hAnsi="Times New Roman" w:cs="Times New Roman"/>
                <w:color w:val="000000"/>
                <w:sz w:val="24"/>
                <w:szCs w:val="24"/>
                <w:lang w:eastAsia="lv-LV"/>
              </w:rPr>
              <w:t>irekcija”.</w:t>
            </w:r>
          </w:p>
        </w:tc>
      </w:tr>
      <w:tr w:rsidR="00CB09B4" w:rsidRPr="0014329A" w14:paraId="02D25FC0" w14:textId="77777777" w:rsidTr="00D60294">
        <w:trPr>
          <w:trHeight w:val="671"/>
        </w:trPr>
        <w:tc>
          <w:tcPr>
            <w:tcW w:w="734" w:type="dxa"/>
          </w:tcPr>
          <w:p w14:paraId="6587C221"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952" w:type="dxa"/>
          </w:tcPr>
          <w:p w14:paraId="242F6BE5"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izpildes ietekme uz pār</w:t>
            </w:r>
            <w:r w:rsidRPr="00E82963">
              <w:rPr>
                <w:rFonts w:ascii="Times New Roman" w:hAnsi="Times New Roman" w:cs="Times New Roman"/>
                <w:color w:val="000000"/>
                <w:sz w:val="24"/>
                <w:szCs w:val="24"/>
                <w:lang w:eastAsia="lv-LV"/>
              </w:rPr>
              <w:softHyphen/>
              <w:t>valdes funkcijām un institucionālo struktūru.</w:t>
            </w:r>
          </w:p>
          <w:p w14:paraId="4A4AE5FD" w14:textId="77777777" w:rsidR="00CB09B4" w:rsidRPr="00266405" w:rsidRDefault="00CB09B4" w:rsidP="00563C14">
            <w:pPr>
              <w:spacing w:after="0" w:line="240" w:lineRule="auto"/>
              <w:ind w:left="57" w:right="57"/>
              <w:jc w:val="both"/>
              <w:rPr>
                <w:rFonts w:ascii="Times New Roman" w:hAnsi="Times New Roman" w:cs="Times New Roman"/>
                <w:sz w:val="24"/>
                <w:szCs w:val="24"/>
                <w:lang w:eastAsia="lv-LV"/>
              </w:rPr>
            </w:pPr>
            <w:r w:rsidRPr="00E82963">
              <w:rPr>
                <w:rFonts w:ascii="Times New Roman" w:hAnsi="Times New Roman" w:cs="Times New Roman"/>
                <w:color w:val="000000"/>
                <w:sz w:val="24"/>
                <w:szCs w:val="24"/>
                <w:lang w:eastAsia="lv-LV"/>
              </w:rPr>
              <w:t>Jaunu institūciju izveide, esošu institūciju likvidācija vai reorga</w:t>
            </w:r>
            <w:r w:rsidRPr="00E82963">
              <w:rPr>
                <w:rFonts w:ascii="Times New Roman" w:hAnsi="Times New Roman" w:cs="Times New Roman"/>
                <w:color w:val="000000"/>
                <w:sz w:val="24"/>
                <w:szCs w:val="24"/>
                <w:lang w:eastAsia="lv-LV"/>
              </w:rPr>
              <w:softHyphen/>
              <w:t>nizācija, to ietekme uz institūcijas cilvēkresursiem</w:t>
            </w:r>
            <w:r w:rsidR="002107A0">
              <w:rPr>
                <w:rFonts w:ascii="Times New Roman" w:hAnsi="Times New Roman" w:cs="Times New Roman"/>
                <w:color w:val="000000"/>
                <w:sz w:val="24"/>
                <w:szCs w:val="24"/>
                <w:lang w:eastAsia="lv-LV"/>
              </w:rPr>
              <w:t>.</w:t>
            </w:r>
          </w:p>
        </w:tc>
        <w:tc>
          <w:tcPr>
            <w:tcW w:w="5779" w:type="dxa"/>
          </w:tcPr>
          <w:p w14:paraId="366604C9" w14:textId="154F4A10" w:rsidR="00CB09B4" w:rsidRPr="00E82963" w:rsidRDefault="00CB09B4" w:rsidP="0043397D">
            <w:pPr>
              <w:shd w:val="clear" w:color="auto" w:fill="FFFFFF"/>
              <w:spacing w:before="100" w:beforeAutospacing="1" w:after="0" w:line="240" w:lineRule="auto"/>
              <w:jc w:val="both"/>
              <w:rPr>
                <w:rFonts w:ascii="Times New Roman" w:hAnsi="Times New Roman" w:cs="Times New Roman"/>
                <w:color w:val="000000"/>
                <w:sz w:val="24"/>
                <w:szCs w:val="24"/>
                <w:lang w:eastAsia="lv-LV"/>
              </w:rPr>
            </w:pPr>
            <w:r w:rsidRPr="00576E8C">
              <w:rPr>
                <w:rFonts w:ascii="Times New Roman" w:hAnsi="Times New Roman" w:cs="Times New Roman"/>
                <w:sz w:val="24"/>
                <w:szCs w:val="24"/>
              </w:rPr>
              <w:t xml:space="preserve">Saistībā ar </w:t>
            </w:r>
            <w:r w:rsidR="004E1D8A">
              <w:rPr>
                <w:rFonts w:ascii="Times New Roman" w:hAnsi="Times New Roman" w:cs="Times New Roman"/>
                <w:sz w:val="24"/>
                <w:szCs w:val="24"/>
              </w:rPr>
              <w:t xml:space="preserve">Grozījumu projekta </w:t>
            </w:r>
            <w:r w:rsidRPr="00576E8C">
              <w:rPr>
                <w:rFonts w:ascii="Times New Roman" w:hAnsi="Times New Roman" w:cs="Times New Roman"/>
                <w:sz w:val="24"/>
                <w:szCs w:val="24"/>
              </w:rPr>
              <w:t>izpildi nav nepieciešams veidot jaunas institūcijas, likvidēt vai reorganizēt esošās.</w:t>
            </w:r>
          </w:p>
        </w:tc>
      </w:tr>
      <w:tr w:rsidR="00CB09B4" w:rsidRPr="0014329A" w14:paraId="3CEAF108" w14:textId="77777777" w:rsidTr="00D60294">
        <w:trPr>
          <w:trHeight w:val="402"/>
        </w:trPr>
        <w:tc>
          <w:tcPr>
            <w:tcW w:w="734" w:type="dxa"/>
          </w:tcPr>
          <w:p w14:paraId="5BAFFC39"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2952" w:type="dxa"/>
          </w:tcPr>
          <w:p w14:paraId="096C0EC0"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r w:rsidR="002107A0">
              <w:rPr>
                <w:rFonts w:ascii="Times New Roman" w:hAnsi="Times New Roman" w:cs="Times New Roman"/>
                <w:color w:val="000000"/>
                <w:sz w:val="24"/>
                <w:szCs w:val="24"/>
                <w:lang w:eastAsia="lv-LV"/>
              </w:rPr>
              <w:t>.</w:t>
            </w:r>
          </w:p>
        </w:tc>
        <w:tc>
          <w:tcPr>
            <w:tcW w:w="5779" w:type="dxa"/>
          </w:tcPr>
          <w:p w14:paraId="117E7F6B"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2A85E912" w14:textId="77777777" w:rsidR="00566841" w:rsidRDefault="00566841"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p>
    <w:p w14:paraId="50D09E1F" w14:textId="77777777" w:rsidR="000176AE" w:rsidRDefault="000176AE"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p>
    <w:p w14:paraId="1A733CF4" w14:textId="6E4EE818" w:rsidR="00CB09B4" w:rsidRPr="00B81D75" w:rsidRDefault="00CB09B4"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r w:rsidRPr="00B81D75">
        <w:rPr>
          <w:rFonts w:ascii="Times New Roman" w:hAnsi="Times New Roman" w:cs="Times New Roman"/>
          <w:sz w:val="24"/>
          <w:szCs w:val="24"/>
        </w:rPr>
        <w:t>Satiksmes ministrs</w:t>
      </w:r>
      <w:r w:rsidRPr="00B81D75">
        <w:rPr>
          <w:rFonts w:ascii="Times New Roman" w:hAnsi="Times New Roman" w:cs="Times New Roman"/>
          <w:sz w:val="24"/>
          <w:szCs w:val="24"/>
        </w:rPr>
        <w:tab/>
      </w:r>
      <w:r w:rsidRPr="00B81D75">
        <w:rPr>
          <w:rFonts w:ascii="Times New Roman" w:hAnsi="Times New Roman" w:cs="Times New Roman"/>
          <w:sz w:val="24"/>
          <w:szCs w:val="24"/>
        </w:rPr>
        <w:tab/>
        <w:t xml:space="preserve">       T. Linkaits</w:t>
      </w:r>
    </w:p>
    <w:p w14:paraId="51F61031" w14:textId="5C512C10" w:rsidR="00CB09B4" w:rsidRDefault="00CB09B4" w:rsidP="00B81D75">
      <w:pPr>
        <w:tabs>
          <w:tab w:val="left" w:pos="6237"/>
        </w:tabs>
        <w:spacing w:after="0" w:line="240" w:lineRule="auto"/>
        <w:jc w:val="both"/>
        <w:rPr>
          <w:rFonts w:ascii="Times New Roman" w:hAnsi="Times New Roman" w:cs="Times New Roman"/>
          <w:sz w:val="24"/>
          <w:szCs w:val="24"/>
        </w:rPr>
      </w:pPr>
    </w:p>
    <w:p w14:paraId="31144CF6" w14:textId="77777777" w:rsidR="000176AE" w:rsidRPr="00B81D75" w:rsidRDefault="000176AE" w:rsidP="00B81D75">
      <w:pPr>
        <w:tabs>
          <w:tab w:val="left" w:pos="6237"/>
        </w:tabs>
        <w:spacing w:after="0" w:line="240" w:lineRule="auto"/>
        <w:jc w:val="both"/>
        <w:rPr>
          <w:rFonts w:ascii="Times New Roman" w:hAnsi="Times New Roman" w:cs="Times New Roman"/>
          <w:sz w:val="24"/>
          <w:szCs w:val="24"/>
        </w:rPr>
      </w:pPr>
    </w:p>
    <w:p w14:paraId="67D80070" w14:textId="41E5E3C7" w:rsidR="00CB09B4" w:rsidRPr="00E82963" w:rsidRDefault="00CB09B4" w:rsidP="00B81D75">
      <w:pPr>
        <w:tabs>
          <w:tab w:val="left" w:pos="6237"/>
          <w:tab w:val="left" w:pos="7088"/>
          <w:tab w:val="left" w:pos="7230"/>
          <w:tab w:val="left" w:pos="7513"/>
        </w:tabs>
        <w:spacing w:after="0" w:line="240" w:lineRule="auto"/>
        <w:jc w:val="both"/>
        <w:rPr>
          <w:rFonts w:ascii="Times New Roman" w:hAnsi="Times New Roman" w:cs="Times New Roman"/>
          <w:sz w:val="24"/>
          <w:szCs w:val="24"/>
        </w:rPr>
      </w:pPr>
      <w:r w:rsidRPr="001C58C6">
        <w:rPr>
          <w:rFonts w:ascii="Times New Roman" w:hAnsi="Times New Roman" w:cs="Times New Roman"/>
          <w:sz w:val="24"/>
          <w:szCs w:val="24"/>
        </w:rPr>
        <w:t xml:space="preserve">Vīza: valsts </w:t>
      </w:r>
      <w:r w:rsidR="00D60294">
        <w:rPr>
          <w:rFonts w:ascii="Times New Roman" w:hAnsi="Times New Roman" w:cs="Times New Roman"/>
          <w:sz w:val="24"/>
          <w:szCs w:val="24"/>
        </w:rPr>
        <w:t>sekretāre</w:t>
      </w:r>
      <w:r w:rsidRPr="001C58C6">
        <w:rPr>
          <w:rFonts w:ascii="Times New Roman" w:hAnsi="Times New Roman" w:cs="Times New Roman"/>
          <w:sz w:val="24"/>
          <w:szCs w:val="24"/>
        </w:rPr>
        <w:tab/>
      </w:r>
      <w:r w:rsidRPr="001C58C6">
        <w:rPr>
          <w:rFonts w:ascii="Times New Roman" w:hAnsi="Times New Roman" w:cs="Times New Roman"/>
          <w:sz w:val="24"/>
          <w:szCs w:val="24"/>
        </w:rPr>
        <w:tab/>
        <w:t xml:space="preserve"> </w:t>
      </w:r>
      <w:r w:rsidRPr="001C58C6">
        <w:rPr>
          <w:rFonts w:ascii="Times New Roman" w:hAnsi="Times New Roman" w:cs="Times New Roman"/>
          <w:sz w:val="24"/>
          <w:szCs w:val="24"/>
        </w:rPr>
        <w:tab/>
      </w:r>
      <w:r w:rsidRPr="001C58C6">
        <w:rPr>
          <w:rFonts w:ascii="Times New Roman" w:hAnsi="Times New Roman" w:cs="Times New Roman"/>
          <w:sz w:val="24"/>
          <w:szCs w:val="24"/>
        </w:rPr>
        <w:tab/>
      </w:r>
      <w:r w:rsidR="00D60294">
        <w:rPr>
          <w:rFonts w:ascii="Times New Roman" w:hAnsi="Times New Roman" w:cs="Times New Roman"/>
          <w:sz w:val="24"/>
          <w:szCs w:val="24"/>
        </w:rPr>
        <w:t>I. Stepanova</w:t>
      </w:r>
    </w:p>
    <w:sectPr w:rsidR="00CB09B4" w:rsidRPr="00E82963" w:rsidSect="00977CB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5FEBC" w14:textId="77777777" w:rsidR="00E8216C" w:rsidRDefault="00E8216C" w:rsidP="00137447">
      <w:pPr>
        <w:spacing w:after="0" w:line="240" w:lineRule="auto"/>
      </w:pPr>
      <w:r>
        <w:separator/>
      </w:r>
    </w:p>
  </w:endnote>
  <w:endnote w:type="continuationSeparator" w:id="0">
    <w:p w14:paraId="059BAC93" w14:textId="77777777" w:rsidR="00E8216C" w:rsidRDefault="00E8216C" w:rsidP="0013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4023" w14:textId="77777777" w:rsidR="00F57E24" w:rsidRDefault="00F57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AA7A" w14:textId="595C4A21" w:rsidR="00D60294" w:rsidRPr="00F57E24" w:rsidRDefault="00F57E24" w:rsidP="00F57E24">
    <w:pPr>
      <w:pStyle w:val="Footer"/>
    </w:pPr>
    <w:r w:rsidRPr="00F57E24">
      <w:rPr>
        <w:rFonts w:ascii="Times New Roman" w:hAnsi="Times New Roman" w:cs="Times New Roman"/>
        <w:sz w:val="20"/>
        <w:szCs w:val="20"/>
      </w:rPr>
      <w:t>SManot_010421_komerc_pārvadājumi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8C30" w14:textId="7AE8C833" w:rsidR="00CB09B4" w:rsidRPr="00485663" w:rsidRDefault="00F57E24" w:rsidP="00485663">
    <w:pPr>
      <w:pStyle w:val="Footer"/>
    </w:pPr>
    <w:r w:rsidRPr="00F57E24">
      <w:rPr>
        <w:rFonts w:ascii="Times New Roman" w:hAnsi="Times New Roman" w:cs="Times New Roman"/>
        <w:sz w:val="20"/>
        <w:szCs w:val="20"/>
      </w:rPr>
      <w:t>SManot_010421_komerc_pārvadājumi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665EE" w14:textId="77777777" w:rsidR="00E8216C" w:rsidRDefault="00E8216C" w:rsidP="00137447">
      <w:pPr>
        <w:spacing w:after="0" w:line="240" w:lineRule="auto"/>
      </w:pPr>
      <w:r>
        <w:separator/>
      </w:r>
    </w:p>
  </w:footnote>
  <w:footnote w:type="continuationSeparator" w:id="0">
    <w:p w14:paraId="0DA80BC9" w14:textId="77777777" w:rsidR="00E8216C" w:rsidRDefault="00E8216C" w:rsidP="00137447">
      <w:pPr>
        <w:spacing w:after="0" w:line="240" w:lineRule="auto"/>
      </w:pPr>
      <w:r>
        <w:continuationSeparator/>
      </w:r>
    </w:p>
  </w:footnote>
  <w:footnote w:id="1">
    <w:p w14:paraId="4889886F" w14:textId="77777777" w:rsidR="002E6522" w:rsidRDefault="002E6522" w:rsidP="002E6522">
      <w:pPr>
        <w:spacing w:after="0" w:line="240" w:lineRule="auto"/>
        <w:jc w:val="both"/>
      </w:pPr>
      <w:r w:rsidRPr="00370DB1">
        <w:rPr>
          <w:rStyle w:val="FootnoteReference"/>
          <w:rFonts w:ascii="Times New Roman" w:hAnsi="Times New Roman"/>
          <w:sz w:val="18"/>
          <w:szCs w:val="18"/>
        </w:rPr>
        <w:footnoteRef/>
      </w:r>
      <w:r w:rsidRPr="00370DB1">
        <w:rPr>
          <w:rFonts w:ascii="Times New Roman" w:hAnsi="Times New Roman"/>
          <w:sz w:val="18"/>
          <w:szCs w:val="18"/>
        </w:rPr>
        <w:t xml:space="preserve"> </w:t>
      </w:r>
      <w:r w:rsidRPr="00370DB1">
        <w:rPr>
          <w:rFonts w:ascii="Times New Roman" w:hAnsi="Times New Roman"/>
          <w:bCs/>
          <w:sz w:val="18"/>
          <w:szCs w:val="18"/>
        </w:rPr>
        <w:t xml:space="preserve">ar apzīmējumu „K1 kategorijas autobusi” tiek apzīmēti autobusi ar ietilpību no 12 līdz 24 (ieskaitot) pastāvīgām braukšanas virzienā novietotām pasažieru sēdvietām. </w:t>
      </w:r>
    </w:p>
  </w:footnote>
  <w:footnote w:id="2">
    <w:p w14:paraId="5F43EFC7" w14:textId="77777777" w:rsidR="002E6522" w:rsidRPr="00370DB1" w:rsidRDefault="002E6522" w:rsidP="002E6522">
      <w:pPr>
        <w:spacing w:after="0" w:line="240" w:lineRule="auto"/>
        <w:jc w:val="both"/>
        <w:rPr>
          <w:rFonts w:ascii="Times New Roman" w:hAnsi="Times New Roman"/>
          <w:sz w:val="18"/>
          <w:szCs w:val="18"/>
        </w:rPr>
      </w:pPr>
      <w:r w:rsidRPr="00370DB1">
        <w:rPr>
          <w:rStyle w:val="FootnoteReference"/>
          <w:rFonts w:ascii="Times New Roman" w:hAnsi="Times New Roman"/>
          <w:sz w:val="18"/>
          <w:szCs w:val="18"/>
        </w:rPr>
        <w:footnoteRef/>
      </w:r>
      <w:r w:rsidRPr="00370DB1">
        <w:rPr>
          <w:rFonts w:ascii="Times New Roman" w:hAnsi="Times New Roman"/>
          <w:sz w:val="18"/>
          <w:szCs w:val="18"/>
        </w:rPr>
        <w:t xml:space="preserve"> ar apzīmējumu „K2 kategorijas autobusi” tiek apzīmēti autobusi ar ietilpību no 25 pastāvīgām braukšanas virzienā novietotām  pasažieru sēdvietām. </w:t>
      </w:r>
    </w:p>
    <w:p w14:paraId="4C527CE2" w14:textId="77777777" w:rsidR="002E6522" w:rsidRDefault="002E6522" w:rsidP="002E6522">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9184" w14:textId="77777777" w:rsidR="00CB09B4" w:rsidRDefault="00CB09B4" w:rsidP="009027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B55EA" w14:textId="77777777" w:rsidR="00CB09B4" w:rsidRDefault="00CB0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94DF" w14:textId="77777777" w:rsidR="00CB09B4" w:rsidRPr="00266405" w:rsidRDefault="00CB09B4" w:rsidP="00902734">
    <w:pPr>
      <w:pStyle w:val="Header"/>
      <w:framePr w:wrap="around" w:vAnchor="text" w:hAnchor="margin" w:xAlign="center" w:y="1"/>
      <w:rPr>
        <w:rStyle w:val="PageNumber"/>
        <w:rFonts w:ascii="Times New Roman" w:hAnsi="Times New Roman" w:cs="Times New Roman"/>
      </w:rPr>
    </w:pPr>
    <w:r w:rsidRPr="00266405">
      <w:rPr>
        <w:rStyle w:val="PageNumber"/>
        <w:rFonts w:ascii="Times New Roman" w:hAnsi="Times New Roman" w:cs="Times New Roman"/>
      </w:rPr>
      <w:fldChar w:fldCharType="begin"/>
    </w:r>
    <w:r w:rsidRPr="00266405">
      <w:rPr>
        <w:rStyle w:val="PageNumber"/>
        <w:rFonts w:ascii="Times New Roman" w:hAnsi="Times New Roman" w:cs="Times New Roman"/>
      </w:rPr>
      <w:instrText xml:space="preserve">PAGE  </w:instrText>
    </w:r>
    <w:r w:rsidRPr="00266405">
      <w:rPr>
        <w:rStyle w:val="PageNumber"/>
        <w:rFonts w:ascii="Times New Roman" w:hAnsi="Times New Roman" w:cs="Times New Roman"/>
      </w:rPr>
      <w:fldChar w:fldCharType="separate"/>
    </w:r>
    <w:r w:rsidR="0095752F">
      <w:rPr>
        <w:rStyle w:val="PageNumber"/>
        <w:rFonts w:ascii="Times New Roman" w:hAnsi="Times New Roman" w:cs="Times New Roman"/>
        <w:noProof/>
      </w:rPr>
      <w:t>2</w:t>
    </w:r>
    <w:r w:rsidRPr="00266405">
      <w:rPr>
        <w:rStyle w:val="PageNumber"/>
        <w:rFonts w:ascii="Times New Roman" w:hAnsi="Times New Roman" w:cs="Times New Roman"/>
      </w:rPr>
      <w:fldChar w:fldCharType="end"/>
    </w:r>
  </w:p>
  <w:p w14:paraId="042720D5" w14:textId="77777777" w:rsidR="00CB09B4" w:rsidRDefault="00CB0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5194" w14:textId="77777777" w:rsidR="00F57E24" w:rsidRDefault="00F57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1AA3"/>
    <w:multiLevelType w:val="hybridMultilevel"/>
    <w:tmpl w:val="9C32C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BD558F"/>
    <w:multiLevelType w:val="hybridMultilevel"/>
    <w:tmpl w:val="42FC2708"/>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2" w15:restartNumberingAfterBreak="0">
    <w:nsid w:val="2A0959F6"/>
    <w:multiLevelType w:val="hybridMultilevel"/>
    <w:tmpl w:val="6E10F428"/>
    <w:lvl w:ilvl="0" w:tplc="7C8A2B3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 w15:restartNumberingAfterBreak="0">
    <w:nsid w:val="34D5046E"/>
    <w:multiLevelType w:val="hybridMultilevel"/>
    <w:tmpl w:val="E8E40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734CF"/>
    <w:multiLevelType w:val="hybridMultilevel"/>
    <w:tmpl w:val="43C0785C"/>
    <w:lvl w:ilvl="0" w:tplc="792889C8">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FF44574"/>
    <w:multiLevelType w:val="hybridMultilevel"/>
    <w:tmpl w:val="4B30D326"/>
    <w:lvl w:ilvl="0" w:tplc="04260011">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6" w15:restartNumberingAfterBreak="0">
    <w:nsid w:val="62A23D12"/>
    <w:multiLevelType w:val="hybridMultilevel"/>
    <w:tmpl w:val="38B86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2ED754A"/>
    <w:multiLevelType w:val="hybridMultilevel"/>
    <w:tmpl w:val="14EE6E76"/>
    <w:lvl w:ilvl="0" w:tplc="5778146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DF248F"/>
    <w:multiLevelType w:val="hybridMultilevel"/>
    <w:tmpl w:val="D5B61EAC"/>
    <w:lvl w:ilvl="0" w:tplc="303CD5A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D86E3F"/>
    <w:multiLevelType w:val="hybridMultilevel"/>
    <w:tmpl w:val="69BA9B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4526F2"/>
    <w:multiLevelType w:val="hybridMultilevel"/>
    <w:tmpl w:val="FE62B440"/>
    <w:lvl w:ilvl="0" w:tplc="74401960">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11" w15:restartNumberingAfterBreak="0">
    <w:nsid w:val="78E951F9"/>
    <w:multiLevelType w:val="hybridMultilevel"/>
    <w:tmpl w:val="469A1792"/>
    <w:lvl w:ilvl="0" w:tplc="688C4E4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num w:numId="1">
    <w:abstractNumId w:val="1"/>
  </w:num>
  <w:num w:numId="2">
    <w:abstractNumId w:val="5"/>
  </w:num>
  <w:num w:numId="3">
    <w:abstractNumId w:val="4"/>
  </w:num>
  <w:num w:numId="4">
    <w:abstractNumId w:val="2"/>
  </w:num>
  <w:num w:numId="5">
    <w:abstractNumId w:val="9"/>
  </w:num>
  <w:num w:numId="6">
    <w:abstractNumId w:val="11"/>
  </w:num>
  <w:num w:numId="7">
    <w:abstractNumId w:val="10"/>
  </w:num>
  <w:num w:numId="8">
    <w:abstractNumId w:val="7"/>
  </w:num>
  <w:num w:numId="9">
    <w:abstractNumId w:val="8"/>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3E"/>
    <w:rsid w:val="00003223"/>
    <w:rsid w:val="000104DC"/>
    <w:rsid w:val="00010D9A"/>
    <w:rsid w:val="00011271"/>
    <w:rsid w:val="0001298C"/>
    <w:rsid w:val="00013971"/>
    <w:rsid w:val="00013FA9"/>
    <w:rsid w:val="00014070"/>
    <w:rsid w:val="00014553"/>
    <w:rsid w:val="00016E2E"/>
    <w:rsid w:val="00017425"/>
    <w:rsid w:val="000176AE"/>
    <w:rsid w:val="000207E2"/>
    <w:rsid w:val="000236DA"/>
    <w:rsid w:val="0002665B"/>
    <w:rsid w:val="00026B19"/>
    <w:rsid w:val="0003198C"/>
    <w:rsid w:val="00033AEA"/>
    <w:rsid w:val="00034AE8"/>
    <w:rsid w:val="00036429"/>
    <w:rsid w:val="00040CA8"/>
    <w:rsid w:val="00041317"/>
    <w:rsid w:val="00042D24"/>
    <w:rsid w:val="00042EB3"/>
    <w:rsid w:val="00043748"/>
    <w:rsid w:val="00046631"/>
    <w:rsid w:val="00047102"/>
    <w:rsid w:val="000472F4"/>
    <w:rsid w:val="0005040C"/>
    <w:rsid w:val="00050CD9"/>
    <w:rsid w:val="00052299"/>
    <w:rsid w:val="000566B9"/>
    <w:rsid w:val="000571F2"/>
    <w:rsid w:val="00057C3D"/>
    <w:rsid w:val="0006157F"/>
    <w:rsid w:val="00062CD7"/>
    <w:rsid w:val="00063258"/>
    <w:rsid w:val="000660E9"/>
    <w:rsid w:val="0007369B"/>
    <w:rsid w:val="0008019B"/>
    <w:rsid w:val="00084D9B"/>
    <w:rsid w:val="0008560A"/>
    <w:rsid w:val="00092F7A"/>
    <w:rsid w:val="000939E3"/>
    <w:rsid w:val="000952BA"/>
    <w:rsid w:val="00096E2E"/>
    <w:rsid w:val="000A1FEA"/>
    <w:rsid w:val="000A3947"/>
    <w:rsid w:val="000A5454"/>
    <w:rsid w:val="000B240B"/>
    <w:rsid w:val="000B5745"/>
    <w:rsid w:val="000B7140"/>
    <w:rsid w:val="000C178B"/>
    <w:rsid w:val="000C22C9"/>
    <w:rsid w:val="000C2DDD"/>
    <w:rsid w:val="000C366F"/>
    <w:rsid w:val="000C5377"/>
    <w:rsid w:val="000C5A83"/>
    <w:rsid w:val="000C6316"/>
    <w:rsid w:val="000C691E"/>
    <w:rsid w:val="000D146B"/>
    <w:rsid w:val="000D2425"/>
    <w:rsid w:val="000D3D6C"/>
    <w:rsid w:val="000D41A6"/>
    <w:rsid w:val="000D745B"/>
    <w:rsid w:val="000D7BF8"/>
    <w:rsid w:val="000E0362"/>
    <w:rsid w:val="000E03BF"/>
    <w:rsid w:val="000E38FE"/>
    <w:rsid w:val="000E5896"/>
    <w:rsid w:val="000F466C"/>
    <w:rsid w:val="000F7C8A"/>
    <w:rsid w:val="001007FC"/>
    <w:rsid w:val="00104816"/>
    <w:rsid w:val="001111B8"/>
    <w:rsid w:val="00115080"/>
    <w:rsid w:val="001172E6"/>
    <w:rsid w:val="0012008D"/>
    <w:rsid w:val="00120797"/>
    <w:rsid w:val="00121BFD"/>
    <w:rsid w:val="00122B11"/>
    <w:rsid w:val="00122DDA"/>
    <w:rsid w:val="001240C3"/>
    <w:rsid w:val="001266B4"/>
    <w:rsid w:val="0013064C"/>
    <w:rsid w:val="00132AFC"/>
    <w:rsid w:val="0013439D"/>
    <w:rsid w:val="00135A67"/>
    <w:rsid w:val="00137336"/>
    <w:rsid w:val="00137447"/>
    <w:rsid w:val="00140FB5"/>
    <w:rsid w:val="0014329A"/>
    <w:rsid w:val="0014468E"/>
    <w:rsid w:val="001518C2"/>
    <w:rsid w:val="00154549"/>
    <w:rsid w:val="001551A7"/>
    <w:rsid w:val="00162344"/>
    <w:rsid w:val="0016247C"/>
    <w:rsid w:val="00163B8F"/>
    <w:rsid w:val="001644F2"/>
    <w:rsid w:val="00166559"/>
    <w:rsid w:val="00166600"/>
    <w:rsid w:val="00166E9F"/>
    <w:rsid w:val="00171FCA"/>
    <w:rsid w:val="0017455E"/>
    <w:rsid w:val="001760B9"/>
    <w:rsid w:val="00177852"/>
    <w:rsid w:val="00180148"/>
    <w:rsid w:val="0018114A"/>
    <w:rsid w:val="00183E75"/>
    <w:rsid w:val="00185C1F"/>
    <w:rsid w:val="00186797"/>
    <w:rsid w:val="00192290"/>
    <w:rsid w:val="00192FFA"/>
    <w:rsid w:val="001946F6"/>
    <w:rsid w:val="001959FF"/>
    <w:rsid w:val="001A02E8"/>
    <w:rsid w:val="001B3319"/>
    <w:rsid w:val="001B36B4"/>
    <w:rsid w:val="001B5449"/>
    <w:rsid w:val="001B644C"/>
    <w:rsid w:val="001B697E"/>
    <w:rsid w:val="001C0213"/>
    <w:rsid w:val="001C0862"/>
    <w:rsid w:val="001C1219"/>
    <w:rsid w:val="001C1FD1"/>
    <w:rsid w:val="001C2FD6"/>
    <w:rsid w:val="001C3A1E"/>
    <w:rsid w:val="001C4765"/>
    <w:rsid w:val="001C4A18"/>
    <w:rsid w:val="001C58C6"/>
    <w:rsid w:val="001C79A7"/>
    <w:rsid w:val="001C7BFD"/>
    <w:rsid w:val="001D20CE"/>
    <w:rsid w:val="001D2414"/>
    <w:rsid w:val="001E1772"/>
    <w:rsid w:val="001E2DA2"/>
    <w:rsid w:val="001E4E91"/>
    <w:rsid w:val="001E6BF5"/>
    <w:rsid w:val="001E6CF9"/>
    <w:rsid w:val="001F3A76"/>
    <w:rsid w:val="002016B0"/>
    <w:rsid w:val="00202940"/>
    <w:rsid w:val="0020581C"/>
    <w:rsid w:val="00205F7A"/>
    <w:rsid w:val="002107A0"/>
    <w:rsid w:val="00210AE4"/>
    <w:rsid w:val="0021348C"/>
    <w:rsid w:val="00215CD4"/>
    <w:rsid w:val="002207F2"/>
    <w:rsid w:val="0022192C"/>
    <w:rsid w:val="002227D1"/>
    <w:rsid w:val="00222EE4"/>
    <w:rsid w:val="00231D24"/>
    <w:rsid w:val="0023362C"/>
    <w:rsid w:val="002337BB"/>
    <w:rsid w:val="0024134A"/>
    <w:rsid w:val="00246752"/>
    <w:rsid w:val="00247D19"/>
    <w:rsid w:val="00250B5D"/>
    <w:rsid w:val="00250EB8"/>
    <w:rsid w:val="00250F7E"/>
    <w:rsid w:val="0025631F"/>
    <w:rsid w:val="002618CA"/>
    <w:rsid w:val="00265560"/>
    <w:rsid w:val="00266405"/>
    <w:rsid w:val="00273B27"/>
    <w:rsid w:val="002770F4"/>
    <w:rsid w:val="0027716D"/>
    <w:rsid w:val="002801ED"/>
    <w:rsid w:val="002810DD"/>
    <w:rsid w:val="0028274A"/>
    <w:rsid w:val="00282AC9"/>
    <w:rsid w:val="00282FD9"/>
    <w:rsid w:val="00285F8E"/>
    <w:rsid w:val="00287588"/>
    <w:rsid w:val="0029578D"/>
    <w:rsid w:val="0029587B"/>
    <w:rsid w:val="0029591B"/>
    <w:rsid w:val="00295C0E"/>
    <w:rsid w:val="00296796"/>
    <w:rsid w:val="0029772E"/>
    <w:rsid w:val="002A13D1"/>
    <w:rsid w:val="002A55EB"/>
    <w:rsid w:val="002A7F37"/>
    <w:rsid w:val="002B0AAE"/>
    <w:rsid w:val="002B1F30"/>
    <w:rsid w:val="002B6FF6"/>
    <w:rsid w:val="002B742F"/>
    <w:rsid w:val="002B7CAA"/>
    <w:rsid w:val="002C035B"/>
    <w:rsid w:val="002C20EB"/>
    <w:rsid w:val="002C7E72"/>
    <w:rsid w:val="002D13D0"/>
    <w:rsid w:val="002D2172"/>
    <w:rsid w:val="002D25E2"/>
    <w:rsid w:val="002D3AC4"/>
    <w:rsid w:val="002D7F2C"/>
    <w:rsid w:val="002E11BF"/>
    <w:rsid w:val="002E3F68"/>
    <w:rsid w:val="002E4AA0"/>
    <w:rsid w:val="002E4CD0"/>
    <w:rsid w:val="002E6486"/>
    <w:rsid w:val="002E6522"/>
    <w:rsid w:val="002E7CAF"/>
    <w:rsid w:val="002F25DF"/>
    <w:rsid w:val="002F6281"/>
    <w:rsid w:val="002F72E0"/>
    <w:rsid w:val="003016EB"/>
    <w:rsid w:val="00302347"/>
    <w:rsid w:val="0030504D"/>
    <w:rsid w:val="0030631F"/>
    <w:rsid w:val="00313F1E"/>
    <w:rsid w:val="0031429A"/>
    <w:rsid w:val="00320A27"/>
    <w:rsid w:val="003226A1"/>
    <w:rsid w:val="0032493E"/>
    <w:rsid w:val="003303E1"/>
    <w:rsid w:val="0033130A"/>
    <w:rsid w:val="00331DCA"/>
    <w:rsid w:val="0033553E"/>
    <w:rsid w:val="00336769"/>
    <w:rsid w:val="0034264D"/>
    <w:rsid w:val="00346AAD"/>
    <w:rsid w:val="00350794"/>
    <w:rsid w:val="0035129D"/>
    <w:rsid w:val="003542FA"/>
    <w:rsid w:val="003575DC"/>
    <w:rsid w:val="00363566"/>
    <w:rsid w:val="00363C88"/>
    <w:rsid w:val="00364F69"/>
    <w:rsid w:val="0036513F"/>
    <w:rsid w:val="003668D1"/>
    <w:rsid w:val="00372194"/>
    <w:rsid w:val="0037545E"/>
    <w:rsid w:val="0037616F"/>
    <w:rsid w:val="00376804"/>
    <w:rsid w:val="00381572"/>
    <w:rsid w:val="003846EF"/>
    <w:rsid w:val="00385A2B"/>
    <w:rsid w:val="0039130E"/>
    <w:rsid w:val="00392A73"/>
    <w:rsid w:val="00394D8D"/>
    <w:rsid w:val="003967F3"/>
    <w:rsid w:val="003A05AD"/>
    <w:rsid w:val="003A1987"/>
    <w:rsid w:val="003A1C22"/>
    <w:rsid w:val="003A1EBD"/>
    <w:rsid w:val="003A3229"/>
    <w:rsid w:val="003A5F7F"/>
    <w:rsid w:val="003A6908"/>
    <w:rsid w:val="003A6CF1"/>
    <w:rsid w:val="003B091F"/>
    <w:rsid w:val="003B26A7"/>
    <w:rsid w:val="003B51B5"/>
    <w:rsid w:val="003B648D"/>
    <w:rsid w:val="003C24DF"/>
    <w:rsid w:val="003C260F"/>
    <w:rsid w:val="003D6D25"/>
    <w:rsid w:val="003E1BBB"/>
    <w:rsid w:val="003E2A79"/>
    <w:rsid w:val="003E494C"/>
    <w:rsid w:val="003E585C"/>
    <w:rsid w:val="003F217E"/>
    <w:rsid w:val="003F2EEF"/>
    <w:rsid w:val="003F43CF"/>
    <w:rsid w:val="003F6117"/>
    <w:rsid w:val="004008D6"/>
    <w:rsid w:val="00405A55"/>
    <w:rsid w:val="0040738D"/>
    <w:rsid w:val="004128C4"/>
    <w:rsid w:val="0041377A"/>
    <w:rsid w:val="00422C8D"/>
    <w:rsid w:val="004262F8"/>
    <w:rsid w:val="004278E5"/>
    <w:rsid w:val="004323D7"/>
    <w:rsid w:val="0043397D"/>
    <w:rsid w:val="00433A9B"/>
    <w:rsid w:val="00435A50"/>
    <w:rsid w:val="00436759"/>
    <w:rsid w:val="00441C3E"/>
    <w:rsid w:val="00442A7D"/>
    <w:rsid w:val="00443473"/>
    <w:rsid w:val="00447CB3"/>
    <w:rsid w:val="0045001E"/>
    <w:rsid w:val="004513B3"/>
    <w:rsid w:val="00451D39"/>
    <w:rsid w:val="00456A71"/>
    <w:rsid w:val="00462656"/>
    <w:rsid w:val="00465523"/>
    <w:rsid w:val="004739A3"/>
    <w:rsid w:val="00474B11"/>
    <w:rsid w:val="00474C41"/>
    <w:rsid w:val="0047529C"/>
    <w:rsid w:val="004752BD"/>
    <w:rsid w:val="00476521"/>
    <w:rsid w:val="004838DF"/>
    <w:rsid w:val="00484822"/>
    <w:rsid w:val="00485663"/>
    <w:rsid w:val="00486EFE"/>
    <w:rsid w:val="004927BE"/>
    <w:rsid w:val="00492F6B"/>
    <w:rsid w:val="00494DB5"/>
    <w:rsid w:val="00495B8E"/>
    <w:rsid w:val="00495D43"/>
    <w:rsid w:val="00496199"/>
    <w:rsid w:val="004A309B"/>
    <w:rsid w:val="004A5FD1"/>
    <w:rsid w:val="004B2B97"/>
    <w:rsid w:val="004B5A95"/>
    <w:rsid w:val="004C1838"/>
    <w:rsid w:val="004C40B8"/>
    <w:rsid w:val="004D13CE"/>
    <w:rsid w:val="004D29F2"/>
    <w:rsid w:val="004D6873"/>
    <w:rsid w:val="004D7820"/>
    <w:rsid w:val="004E08F8"/>
    <w:rsid w:val="004E1D8A"/>
    <w:rsid w:val="004E686E"/>
    <w:rsid w:val="004F145C"/>
    <w:rsid w:val="004F16BD"/>
    <w:rsid w:val="004F16DE"/>
    <w:rsid w:val="004F5B51"/>
    <w:rsid w:val="004F5E97"/>
    <w:rsid w:val="00500C2F"/>
    <w:rsid w:val="0050165A"/>
    <w:rsid w:val="005039EA"/>
    <w:rsid w:val="00505E92"/>
    <w:rsid w:val="005065AF"/>
    <w:rsid w:val="00511CA2"/>
    <w:rsid w:val="005122CC"/>
    <w:rsid w:val="00514F2C"/>
    <w:rsid w:val="0051753F"/>
    <w:rsid w:val="0053134D"/>
    <w:rsid w:val="005334AF"/>
    <w:rsid w:val="005356A4"/>
    <w:rsid w:val="00543501"/>
    <w:rsid w:val="00543875"/>
    <w:rsid w:val="00543F97"/>
    <w:rsid w:val="005442CD"/>
    <w:rsid w:val="00544E1A"/>
    <w:rsid w:val="00544E68"/>
    <w:rsid w:val="00546CBF"/>
    <w:rsid w:val="005504A3"/>
    <w:rsid w:val="00552668"/>
    <w:rsid w:val="00555516"/>
    <w:rsid w:val="0055669F"/>
    <w:rsid w:val="00557C60"/>
    <w:rsid w:val="00562DE7"/>
    <w:rsid w:val="00563C14"/>
    <w:rsid w:val="005651FC"/>
    <w:rsid w:val="00566097"/>
    <w:rsid w:val="005660C8"/>
    <w:rsid w:val="00566841"/>
    <w:rsid w:val="00567F16"/>
    <w:rsid w:val="0057015D"/>
    <w:rsid w:val="00572B0D"/>
    <w:rsid w:val="00573575"/>
    <w:rsid w:val="005758A3"/>
    <w:rsid w:val="00576E8C"/>
    <w:rsid w:val="00580532"/>
    <w:rsid w:val="00580CFE"/>
    <w:rsid w:val="00586B95"/>
    <w:rsid w:val="0059047D"/>
    <w:rsid w:val="0059366C"/>
    <w:rsid w:val="00594308"/>
    <w:rsid w:val="00595A4C"/>
    <w:rsid w:val="005968B4"/>
    <w:rsid w:val="00597572"/>
    <w:rsid w:val="0059780A"/>
    <w:rsid w:val="005A01C9"/>
    <w:rsid w:val="005A0983"/>
    <w:rsid w:val="005A1849"/>
    <w:rsid w:val="005A2D48"/>
    <w:rsid w:val="005A68DA"/>
    <w:rsid w:val="005B45E4"/>
    <w:rsid w:val="005B4CE1"/>
    <w:rsid w:val="005B5944"/>
    <w:rsid w:val="005B64AC"/>
    <w:rsid w:val="005B6559"/>
    <w:rsid w:val="005B65B3"/>
    <w:rsid w:val="005C0645"/>
    <w:rsid w:val="005C598E"/>
    <w:rsid w:val="005D331C"/>
    <w:rsid w:val="005D4722"/>
    <w:rsid w:val="005D4964"/>
    <w:rsid w:val="005E3AA7"/>
    <w:rsid w:val="005E44CB"/>
    <w:rsid w:val="005E5C2A"/>
    <w:rsid w:val="005F0203"/>
    <w:rsid w:val="005F0750"/>
    <w:rsid w:val="005F2314"/>
    <w:rsid w:val="005F528D"/>
    <w:rsid w:val="005F5B54"/>
    <w:rsid w:val="005F6A51"/>
    <w:rsid w:val="005F7C46"/>
    <w:rsid w:val="00601980"/>
    <w:rsid w:val="0060547E"/>
    <w:rsid w:val="00613D9C"/>
    <w:rsid w:val="0061642A"/>
    <w:rsid w:val="00616923"/>
    <w:rsid w:val="00617F88"/>
    <w:rsid w:val="0062205B"/>
    <w:rsid w:val="00622860"/>
    <w:rsid w:val="0062447E"/>
    <w:rsid w:val="006250DA"/>
    <w:rsid w:val="006251CE"/>
    <w:rsid w:val="0062782C"/>
    <w:rsid w:val="00633462"/>
    <w:rsid w:val="00634FB0"/>
    <w:rsid w:val="00636696"/>
    <w:rsid w:val="00641C2F"/>
    <w:rsid w:val="0064281C"/>
    <w:rsid w:val="00642993"/>
    <w:rsid w:val="006462D3"/>
    <w:rsid w:val="00647307"/>
    <w:rsid w:val="0065080A"/>
    <w:rsid w:val="00651B4C"/>
    <w:rsid w:val="00652A95"/>
    <w:rsid w:val="00653F2C"/>
    <w:rsid w:val="0065527C"/>
    <w:rsid w:val="00662031"/>
    <w:rsid w:val="00670CF6"/>
    <w:rsid w:val="006716F0"/>
    <w:rsid w:val="006769CB"/>
    <w:rsid w:val="00677140"/>
    <w:rsid w:val="00677222"/>
    <w:rsid w:val="00683D08"/>
    <w:rsid w:val="00683D46"/>
    <w:rsid w:val="00690E91"/>
    <w:rsid w:val="00693CFC"/>
    <w:rsid w:val="00694722"/>
    <w:rsid w:val="00695260"/>
    <w:rsid w:val="006970C8"/>
    <w:rsid w:val="006974E6"/>
    <w:rsid w:val="0069794F"/>
    <w:rsid w:val="006A3B79"/>
    <w:rsid w:val="006A57F4"/>
    <w:rsid w:val="006A6D36"/>
    <w:rsid w:val="006A7D09"/>
    <w:rsid w:val="006B5B51"/>
    <w:rsid w:val="006C152D"/>
    <w:rsid w:val="006C16F7"/>
    <w:rsid w:val="006C1EC1"/>
    <w:rsid w:val="006C45BB"/>
    <w:rsid w:val="006C6D1C"/>
    <w:rsid w:val="006C6D4A"/>
    <w:rsid w:val="006C7001"/>
    <w:rsid w:val="006C71CC"/>
    <w:rsid w:val="006D1542"/>
    <w:rsid w:val="006D180E"/>
    <w:rsid w:val="006D1B17"/>
    <w:rsid w:val="006D1BD6"/>
    <w:rsid w:val="006D2A87"/>
    <w:rsid w:val="006D2AF6"/>
    <w:rsid w:val="006D3494"/>
    <w:rsid w:val="006D73FE"/>
    <w:rsid w:val="006E010D"/>
    <w:rsid w:val="006E1592"/>
    <w:rsid w:val="006E23E1"/>
    <w:rsid w:val="006E2A08"/>
    <w:rsid w:val="006E3134"/>
    <w:rsid w:val="006E38B8"/>
    <w:rsid w:val="006E52AD"/>
    <w:rsid w:val="006E6813"/>
    <w:rsid w:val="006F15C0"/>
    <w:rsid w:val="006F308B"/>
    <w:rsid w:val="006F3212"/>
    <w:rsid w:val="006F3985"/>
    <w:rsid w:val="006F435B"/>
    <w:rsid w:val="006F538A"/>
    <w:rsid w:val="006F57AB"/>
    <w:rsid w:val="007003D8"/>
    <w:rsid w:val="007011E7"/>
    <w:rsid w:val="0070179A"/>
    <w:rsid w:val="00703D67"/>
    <w:rsid w:val="00703F77"/>
    <w:rsid w:val="00704D84"/>
    <w:rsid w:val="00710864"/>
    <w:rsid w:val="00716407"/>
    <w:rsid w:val="00717276"/>
    <w:rsid w:val="007174AD"/>
    <w:rsid w:val="0072036C"/>
    <w:rsid w:val="007334E1"/>
    <w:rsid w:val="00734383"/>
    <w:rsid w:val="007344E7"/>
    <w:rsid w:val="0073534B"/>
    <w:rsid w:val="00735A74"/>
    <w:rsid w:val="0073644A"/>
    <w:rsid w:val="00740163"/>
    <w:rsid w:val="007401A0"/>
    <w:rsid w:val="00743D94"/>
    <w:rsid w:val="00745BA1"/>
    <w:rsid w:val="00746C29"/>
    <w:rsid w:val="00747096"/>
    <w:rsid w:val="007543D5"/>
    <w:rsid w:val="00754959"/>
    <w:rsid w:val="00755ACB"/>
    <w:rsid w:val="0075713C"/>
    <w:rsid w:val="00761DFD"/>
    <w:rsid w:val="00771451"/>
    <w:rsid w:val="007737A7"/>
    <w:rsid w:val="00774278"/>
    <w:rsid w:val="00774FDD"/>
    <w:rsid w:val="0078106B"/>
    <w:rsid w:val="0078124D"/>
    <w:rsid w:val="00787741"/>
    <w:rsid w:val="00790AA6"/>
    <w:rsid w:val="00795106"/>
    <w:rsid w:val="0079562A"/>
    <w:rsid w:val="007A16FF"/>
    <w:rsid w:val="007A59C6"/>
    <w:rsid w:val="007A66D9"/>
    <w:rsid w:val="007A6F2E"/>
    <w:rsid w:val="007A79E0"/>
    <w:rsid w:val="007B1042"/>
    <w:rsid w:val="007B1816"/>
    <w:rsid w:val="007B1CAC"/>
    <w:rsid w:val="007B1DD7"/>
    <w:rsid w:val="007B42EA"/>
    <w:rsid w:val="007B4890"/>
    <w:rsid w:val="007B53EF"/>
    <w:rsid w:val="007D0E5B"/>
    <w:rsid w:val="007D1A9E"/>
    <w:rsid w:val="007E2173"/>
    <w:rsid w:val="007E28C8"/>
    <w:rsid w:val="007E3FEE"/>
    <w:rsid w:val="007E6268"/>
    <w:rsid w:val="007E645F"/>
    <w:rsid w:val="007E7969"/>
    <w:rsid w:val="007F0AB5"/>
    <w:rsid w:val="007F0AC2"/>
    <w:rsid w:val="007F3370"/>
    <w:rsid w:val="007F6735"/>
    <w:rsid w:val="00801212"/>
    <w:rsid w:val="00801F63"/>
    <w:rsid w:val="0080379E"/>
    <w:rsid w:val="0080610A"/>
    <w:rsid w:val="008075FF"/>
    <w:rsid w:val="00807DA0"/>
    <w:rsid w:val="00811805"/>
    <w:rsid w:val="00811A67"/>
    <w:rsid w:val="00812AD4"/>
    <w:rsid w:val="0081390F"/>
    <w:rsid w:val="00813B68"/>
    <w:rsid w:val="00814AE3"/>
    <w:rsid w:val="00815B65"/>
    <w:rsid w:val="008175FB"/>
    <w:rsid w:val="0082010E"/>
    <w:rsid w:val="0082011C"/>
    <w:rsid w:val="008204D7"/>
    <w:rsid w:val="00824020"/>
    <w:rsid w:val="00825421"/>
    <w:rsid w:val="0082766D"/>
    <w:rsid w:val="0083168F"/>
    <w:rsid w:val="00831E52"/>
    <w:rsid w:val="00832E45"/>
    <w:rsid w:val="00835260"/>
    <w:rsid w:val="00835E00"/>
    <w:rsid w:val="00841702"/>
    <w:rsid w:val="008423CC"/>
    <w:rsid w:val="008437C8"/>
    <w:rsid w:val="00845998"/>
    <w:rsid w:val="00845F89"/>
    <w:rsid w:val="008467ED"/>
    <w:rsid w:val="008471A0"/>
    <w:rsid w:val="008522D5"/>
    <w:rsid w:val="00852BA2"/>
    <w:rsid w:val="00856E22"/>
    <w:rsid w:val="00857391"/>
    <w:rsid w:val="008623E0"/>
    <w:rsid w:val="00862D95"/>
    <w:rsid w:val="008658E3"/>
    <w:rsid w:val="00873003"/>
    <w:rsid w:val="008773F3"/>
    <w:rsid w:val="00877FAD"/>
    <w:rsid w:val="0088306D"/>
    <w:rsid w:val="00885FD2"/>
    <w:rsid w:val="008863DE"/>
    <w:rsid w:val="0088657E"/>
    <w:rsid w:val="008867B3"/>
    <w:rsid w:val="0088722C"/>
    <w:rsid w:val="00887605"/>
    <w:rsid w:val="00891236"/>
    <w:rsid w:val="00891790"/>
    <w:rsid w:val="00892084"/>
    <w:rsid w:val="00892F83"/>
    <w:rsid w:val="008935FF"/>
    <w:rsid w:val="008967C7"/>
    <w:rsid w:val="008A6BAE"/>
    <w:rsid w:val="008A6EFA"/>
    <w:rsid w:val="008B253F"/>
    <w:rsid w:val="008B5D33"/>
    <w:rsid w:val="008B5F6A"/>
    <w:rsid w:val="008B6E60"/>
    <w:rsid w:val="008B738B"/>
    <w:rsid w:val="008C22B0"/>
    <w:rsid w:val="008C55A6"/>
    <w:rsid w:val="008C6E1D"/>
    <w:rsid w:val="008D176D"/>
    <w:rsid w:val="008D42D8"/>
    <w:rsid w:val="008D57D6"/>
    <w:rsid w:val="008D58BB"/>
    <w:rsid w:val="008D611A"/>
    <w:rsid w:val="008D7096"/>
    <w:rsid w:val="008D72E8"/>
    <w:rsid w:val="008D75AE"/>
    <w:rsid w:val="008E2847"/>
    <w:rsid w:val="008F0601"/>
    <w:rsid w:val="008F08F6"/>
    <w:rsid w:val="008F4F35"/>
    <w:rsid w:val="008F7AC2"/>
    <w:rsid w:val="00902734"/>
    <w:rsid w:val="00902DEB"/>
    <w:rsid w:val="0090551E"/>
    <w:rsid w:val="00906D55"/>
    <w:rsid w:val="009152BB"/>
    <w:rsid w:val="0091611D"/>
    <w:rsid w:val="00920C53"/>
    <w:rsid w:val="00924A5F"/>
    <w:rsid w:val="00934FBB"/>
    <w:rsid w:val="00936B00"/>
    <w:rsid w:val="00937503"/>
    <w:rsid w:val="009375BD"/>
    <w:rsid w:val="00937FEE"/>
    <w:rsid w:val="00940860"/>
    <w:rsid w:val="00940B57"/>
    <w:rsid w:val="00942378"/>
    <w:rsid w:val="0094292C"/>
    <w:rsid w:val="00943131"/>
    <w:rsid w:val="00943813"/>
    <w:rsid w:val="00944006"/>
    <w:rsid w:val="0094419A"/>
    <w:rsid w:val="00945FF9"/>
    <w:rsid w:val="00946BEE"/>
    <w:rsid w:val="00947D1D"/>
    <w:rsid w:val="0095220A"/>
    <w:rsid w:val="009571C7"/>
    <w:rsid w:val="0095752F"/>
    <w:rsid w:val="009640B5"/>
    <w:rsid w:val="009659E6"/>
    <w:rsid w:val="009663B3"/>
    <w:rsid w:val="00971A5B"/>
    <w:rsid w:val="009725E2"/>
    <w:rsid w:val="00973096"/>
    <w:rsid w:val="009761C2"/>
    <w:rsid w:val="00976373"/>
    <w:rsid w:val="00977CB3"/>
    <w:rsid w:val="00980953"/>
    <w:rsid w:val="00984C88"/>
    <w:rsid w:val="00991C43"/>
    <w:rsid w:val="00993DD9"/>
    <w:rsid w:val="00994F15"/>
    <w:rsid w:val="00996271"/>
    <w:rsid w:val="009A11A2"/>
    <w:rsid w:val="009A2972"/>
    <w:rsid w:val="009B0A41"/>
    <w:rsid w:val="009B1029"/>
    <w:rsid w:val="009B3E75"/>
    <w:rsid w:val="009C026E"/>
    <w:rsid w:val="009C56DE"/>
    <w:rsid w:val="009C63C4"/>
    <w:rsid w:val="009D1908"/>
    <w:rsid w:val="009D306B"/>
    <w:rsid w:val="009D3494"/>
    <w:rsid w:val="009D4FE4"/>
    <w:rsid w:val="009D60A2"/>
    <w:rsid w:val="009D74F0"/>
    <w:rsid w:val="009E24D3"/>
    <w:rsid w:val="009E2A96"/>
    <w:rsid w:val="009E4198"/>
    <w:rsid w:val="009E61FD"/>
    <w:rsid w:val="009E69A0"/>
    <w:rsid w:val="009F1044"/>
    <w:rsid w:val="009F122E"/>
    <w:rsid w:val="009F3DAE"/>
    <w:rsid w:val="009F3F03"/>
    <w:rsid w:val="009F6986"/>
    <w:rsid w:val="009F76F6"/>
    <w:rsid w:val="00A000D7"/>
    <w:rsid w:val="00A012E1"/>
    <w:rsid w:val="00A0288A"/>
    <w:rsid w:val="00A04E6A"/>
    <w:rsid w:val="00A0686F"/>
    <w:rsid w:val="00A07A94"/>
    <w:rsid w:val="00A13CAA"/>
    <w:rsid w:val="00A16F4B"/>
    <w:rsid w:val="00A17017"/>
    <w:rsid w:val="00A20065"/>
    <w:rsid w:val="00A22F5A"/>
    <w:rsid w:val="00A23CD5"/>
    <w:rsid w:val="00A25633"/>
    <w:rsid w:val="00A25AAE"/>
    <w:rsid w:val="00A30479"/>
    <w:rsid w:val="00A30AE5"/>
    <w:rsid w:val="00A345AF"/>
    <w:rsid w:val="00A36A2F"/>
    <w:rsid w:val="00A424F7"/>
    <w:rsid w:val="00A46650"/>
    <w:rsid w:val="00A4778A"/>
    <w:rsid w:val="00A558AF"/>
    <w:rsid w:val="00A55FBA"/>
    <w:rsid w:val="00A61A4F"/>
    <w:rsid w:val="00A62DC1"/>
    <w:rsid w:val="00A665D7"/>
    <w:rsid w:val="00A70834"/>
    <w:rsid w:val="00A71E07"/>
    <w:rsid w:val="00A76359"/>
    <w:rsid w:val="00A82A12"/>
    <w:rsid w:val="00A8349C"/>
    <w:rsid w:val="00A8729F"/>
    <w:rsid w:val="00A9208C"/>
    <w:rsid w:val="00A95072"/>
    <w:rsid w:val="00A96A38"/>
    <w:rsid w:val="00A972A0"/>
    <w:rsid w:val="00AA2A28"/>
    <w:rsid w:val="00AA3112"/>
    <w:rsid w:val="00AA508D"/>
    <w:rsid w:val="00AA73C3"/>
    <w:rsid w:val="00AB43C6"/>
    <w:rsid w:val="00AB4D50"/>
    <w:rsid w:val="00AB7BD1"/>
    <w:rsid w:val="00AD19A1"/>
    <w:rsid w:val="00AD5D6D"/>
    <w:rsid w:val="00AD6C6A"/>
    <w:rsid w:val="00AD7479"/>
    <w:rsid w:val="00AE1E06"/>
    <w:rsid w:val="00AE2BB5"/>
    <w:rsid w:val="00AE3988"/>
    <w:rsid w:val="00AE50EE"/>
    <w:rsid w:val="00AE6B60"/>
    <w:rsid w:val="00AE6D7F"/>
    <w:rsid w:val="00AE73D9"/>
    <w:rsid w:val="00AF0724"/>
    <w:rsid w:val="00AF58E9"/>
    <w:rsid w:val="00AF7231"/>
    <w:rsid w:val="00B01702"/>
    <w:rsid w:val="00B0204A"/>
    <w:rsid w:val="00B06A28"/>
    <w:rsid w:val="00B079C7"/>
    <w:rsid w:val="00B1268E"/>
    <w:rsid w:val="00B14405"/>
    <w:rsid w:val="00B15144"/>
    <w:rsid w:val="00B1719B"/>
    <w:rsid w:val="00B21566"/>
    <w:rsid w:val="00B22773"/>
    <w:rsid w:val="00B240F5"/>
    <w:rsid w:val="00B246D7"/>
    <w:rsid w:val="00B26772"/>
    <w:rsid w:val="00B361A4"/>
    <w:rsid w:val="00B36574"/>
    <w:rsid w:val="00B41E5E"/>
    <w:rsid w:val="00B44350"/>
    <w:rsid w:val="00B46906"/>
    <w:rsid w:val="00B661C3"/>
    <w:rsid w:val="00B669FD"/>
    <w:rsid w:val="00B70B30"/>
    <w:rsid w:val="00B70DC3"/>
    <w:rsid w:val="00B70F2F"/>
    <w:rsid w:val="00B71623"/>
    <w:rsid w:val="00B71945"/>
    <w:rsid w:val="00B71BF8"/>
    <w:rsid w:val="00B77948"/>
    <w:rsid w:val="00B80D39"/>
    <w:rsid w:val="00B81D75"/>
    <w:rsid w:val="00B82E61"/>
    <w:rsid w:val="00B86E1C"/>
    <w:rsid w:val="00B90481"/>
    <w:rsid w:val="00B90820"/>
    <w:rsid w:val="00B91054"/>
    <w:rsid w:val="00B9125C"/>
    <w:rsid w:val="00B93CC9"/>
    <w:rsid w:val="00B94012"/>
    <w:rsid w:val="00B94813"/>
    <w:rsid w:val="00B950B3"/>
    <w:rsid w:val="00BA2139"/>
    <w:rsid w:val="00BA2BFC"/>
    <w:rsid w:val="00BA4517"/>
    <w:rsid w:val="00BB020D"/>
    <w:rsid w:val="00BB107F"/>
    <w:rsid w:val="00BB27B2"/>
    <w:rsid w:val="00BB6B6B"/>
    <w:rsid w:val="00BB7141"/>
    <w:rsid w:val="00BB74F0"/>
    <w:rsid w:val="00BB7E85"/>
    <w:rsid w:val="00BC215B"/>
    <w:rsid w:val="00BC3161"/>
    <w:rsid w:val="00BC4AA0"/>
    <w:rsid w:val="00BC7A9E"/>
    <w:rsid w:val="00BD0EA2"/>
    <w:rsid w:val="00BD1D00"/>
    <w:rsid w:val="00BD1E91"/>
    <w:rsid w:val="00BD30E9"/>
    <w:rsid w:val="00BD5D37"/>
    <w:rsid w:val="00BD6B9A"/>
    <w:rsid w:val="00BD7243"/>
    <w:rsid w:val="00BE0BAC"/>
    <w:rsid w:val="00BE3AFA"/>
    <w:rsid w:val="00BE3C5A"/>
    <w:rsid w:val="00BE429F"/>
    <w:rsid w:val="00BE4505"/>
    <w:rsid w:val="00BE6739"/>
    <w:rsid w:val="00BF111F"/>
    <w:rsid w:val="00BF2509"/>
    <w:rsid w:val="00BF5A9C"/>
    <w:rsid w:val="00C03825"/>
    <w:rsid w:val="00C03B64"/>
    <w:rsid w:val="00C03D55"/>
    <w:rsid w:val="00C041CA"/>
    <w:rsid w:val="00C047C3"/>
    <w:rsid w:val="00C059DC"/>
    <w:rsid w:val="00C07971"/>
    <w:rsid w:val="00C07AB4"/>
    <w:rsid w:val="00C10687"/>
    <w:rsid w:val="00C1383D"/>
    <w:rsid w:val="00C1781B"/>
    <w:rsid w:val="00C20DB8"/>
    <w:rsid w:val="00C21270"/>
    <w:rsid w:val="00C22631"/>
    <w:rsid w:val="00C24BBA"/>
    <w:rsid w:val="00C26639"/>
    <w:rsid w:val="00C3118F"/>
    <w:rsid w:val="00C32C12"/>
    <w:rsid w:val="00C411FA"/>
    <w:rsid w:val="00C42B8F"/>
    <w:rsid w:val="00C436A3"/>
    <w:rsid w:val="00C43892"/>
    <w:rsid w:val="00C44B38"/>
    <w:rsid w:val="00C50AB2"/>
    <w:rsid w:val="00C5149F"/>
    <w:rsid w:val="00C524FC"/>
    <w:rsid w:val="00C53116"/>
    <w:rsid w:val="00C5351E"/>
    <w:rsid w:val="00C537B9"/>
    <w:rsid w:val="00C539E2"/>
    <w:rsid w:val="00C61323"/>
    <w:rsid w:val="00C61AF4"/>
    <w:rsid w:val="00C62A77"/>
    <w:rsid w:val="00C62AF9"/>
    <w:rsid w:val="00C638ED"/>
    <w:rsid w:val="00C650D7"/>
    <w:rsid w:val="00C7119E"/>
    <w:rsid w:val="00C713E6"/>
    <w:rsid w:val="00C72B55"/>
    <w:rsid w:val="00C73326"/>
    <w:rsid w:val="00C73BDB"/>
    <w:rsid w:val="00C73ED5"/>
    <w:rsid w:val="00C7431F"/>
    <w:rsid w:val="00C74924"/>
    <w:rsid w:val="00C749E7"/>
    <w:rsid w:val="00C759EF"/>
    <w:rsid w:val="00C76A11"/>
    <w:rsid w:val="00C821B9"/>
    <w:rsid w:val="00C82412"/>
    <w:rsid w:val="00C92815"/>
    <w:rsid w:val="00C93080"/>
    <w:rsid w:val="00C9784D"/>
    <w:rsid w:val="00CA0071"/>
    <w:rsid w:val="00CA046B"/>
    <w:rsid w:val="00CA214D"/>
    <w:rsid w:val="00CA347E"/>
    <w:rsid w:val="00CA4589"/>
    <w:rsid w:val="00CA4B75"/>
    <w:rsid w:val="00CA7FE6"/>
    <w:rsid w:val="00CB03A7"/>
    <w:rsid w:val="00CB09B4"/>
    <w:rsid w:val="00CB426C"/>
    <w:rsid w:val="00CB5676"/>
    <w:rsid w:val="00CB7161"/>
    <w:rsid w:val="00CC01FF"/>
    <w:rsid w:val="00CC2813"/>
    <w:rsid w:val="00CC39EC"/>
    <w:rsid w:val="00CC3BDE"/>
    <w:rsid w:val="00CC4AEA"/>
    <w:rsid w:val="00CC7465"/>
    <w:rsid w:val="00CC7E9C"/>
    <w:rsid w:val="00CD2F3B"/>
    <w:rsid w:val="00CE0B09"/>
    <w:rsid w:val="00CE2653"/>
    <w:rsid w:val="00CE5058"/>
    <w:rsid w:val="00CE6B43"/>
    <w:rsid w:val="00CF02F3"/>
    <w:rsid w:val="00CF08D0"/>
    <w:rsid w:val="00CF134E"/>
    <w:rsid w:val="00CF503A"/>
    <w:rsid w:val="00CF6213"/>
    <w:rsid w:val="00D03BAE"/>
    <w:rsid w:val="00D05464"/>
    <w:rsid w:val="00D10699"/>
    <w:rsid w:val="00D1324B"/>
    <w:rsid w:val="00D16C0B"/>
    <w:rsid w:val="00D2038F"/>
    <w:rsid w:val="00D2137C"/>
    <w:rsid w:val="00D21912"/>
    <w:rsid w:val="00D241C3"/>
    <w:rsid w:val="00D24EC4"/>
    <w:rsid w:val="00D25FB6"/>
    <w:rsid w:val="00D307FD"/>
    <w:rsid w:val="00D33528"/>
    <w:rsid w:val="00D35062"/>
    <w:rsid w:val="00D41AE6"/>
    <w:rsid w:val="00D43B58"/>
    <w:rsid w:val="00D44588"/>
    <w:rsid w:val="00D45FC5"/>
    <w:rsid w:val="00D51605"/>
    <w:rsid w:val="00D5174C"/>
    <w:rsid w:val="00D549FE"/>
    <w:rsid w:val="00D5692E"/>
    <w:rsid w:val="00D573B7"/>
    <w:rsid w:val="00D60294"/>
    <w:rsid w:val="00D60A85"/>
    <w:rsid w:val="00D61BF1"/>
    <w:rsid w:val="00D61E82"/>
    <w:rsid w:val="00D679BA"/>
    <w:rsid w:val="00D70FAB"/>
    <w:rsid w:val="00D76FE9"/>
    <w:rsid w:val="00D805AC"/>
    <w:rsid w:val="00D917B2"/>
    <w:rsid w:val="00D93ECF"/>
    <w:rsid w:val="00D94B0D"/>
    <w:rsid w:val="00D9516B"/>
    <w:rsid w:val="00D95B40"/>
    <w:rsid w:val="00D9636D"/>
    <w:rsid w:val="00DA4433"/>
    <w:rsid w:val="00DA4D8A"/>
    <w:rsid w:val="00DA7BC5"/>
    <w:rsid w:val="00DB29F0"/>
    <w:rsid w:val="00DB3BD4"/>
    <w:rsid w:val="00DB4514"/>
    <w:rsid w:val="00DB65EF"/>
    <w:rsid w:val="00DB763F"/>
    <w:rsid w:val="00DC0F55"/>
    <w:rsid w:val="00DC3E16"/>
    <w:rsid w:val="00DC4441"/>
    <w:rsid w:val="00DC4A76"/>
    <w:rsid w:val="00DC74F2"/>
    <w:rsid w:val="00DD02F4"/>
    <w:rsid w:val="00DD0409"/>
    <w:rsid w:val="00DD2500"/>
    <w:rsid w:val="00DD6B01"/>
    <w:rsid w:val="00DE155F"/>
    <w:rsid w:val="00DE1995"/>
    <w:rsid w:val="00DF0949"/>
    <w:rsid w:val="00DF1191"/>
    <w:rsid w:val="00DF2A4F"/>
    <w:rsid w:val="00DF4338"/>
    <w:rsid w:val="00E02A05"/>
    <w:rsid w:val="00E104E9"/>
    <w:rsid w:val="00E11124"/>
    <w:rsid w:val="00E114B3"/>
    <w:rsid w:val="00E1429F"/>
    <w:rsid w:val="00E15BBD"/>
    <w:rsid w:val="00E16847"/>
    <w:rsid w:val="00E16951"/>
    <w:rsid w:val="00E17AC8"/>
    <w:rsid w:val="00E210DD"/>
    <w:rsid w:val="00E214E9"/>
    <w:rsid w:val="00E26077"/>
    <w:rsid w:val="00E26BBD"/>
    <w:rsid w:val="00E3036F"/>
    <w:rsid w:val="00E30942"/>
    <w:rsid w:val="00E3295D"/>
    <w:rsid w:val="00E33154"/>
    <w:rsid w:val="00E33767"/>
    <w:rsid w:val="00E35FF2"/>
    <w:rsid w:val="00E40F1B"/>
    <w:rsid w:val="00E42547"/>
    <w:rsid w:val="00E452CB"/>
    <w:rsid w:val="00E457CB"/>
    <w:rsid w:val="00E47FC3"/>
    <w:rsid w:val="00E501B8"/>
    <w:rsid w:val="00E50505"/>
    <w:rsid w:val="00E6274E"/>
    <w:rsid w:val="00E72DEF"/>
    <w:rsid w:val="00E73A7E"/>
    <w:rsid w:val="00E751CC"/>
    <w:rsid w:val="00E8216C"/>
    <w:rsid w:val="00E82963"/>
    <w:rsid w:val="00E85CB8"/>
    <w:rsid w:val="00E8643E"/>
    <w:rsid w:val="00E91188"/>
    <w:rsid w:val="00E9673B"/>
    <w:rsid w:val="00EA2FA5"/>
    <w:rsid w:val="00EA4617"/>
    <w:rsid w:val="00EA665E"/>
    <w:rsid w:val="00EB1153"/>
    <w:rsid w:val="00EB11EC"/>
    <w:rsid w:val="00EB36B8"/>
    <w:rsid w:val="00EB4229"/>
    <w:rsid w:val="00EB474D"/>
    <w:rsid w:val="00EC6341"/>
    <w:rsid w:val="00ED482C"/>
    <w:rsid w:val="00ED7C62"/>
    <w:rsid w:val="00EE0BEB"/>
    <w:rsid w:val="00EE2266"/>
    <w:rsid w:val="00EE3A76"/>
    <w:rsid w:val="00EE3A80"/>
    <w:rsid w:val="00EF0471"/>
    <w:rsid w:val="00EF2B33"/>
    <w:rsid w:val="00EF4FA5"/>
    <w:rsid w:val="00EF568E"/>
    <w:rsid w:val="00F023BA"/>
    <w:rsid w:val="00F04FA9"/>
    <w:rsid w:val="00F05D2E"/>
    <w:rsid w:val="00F0605D"/>
    <w:rsid w:val="00F079B9"/>
    <w:rsid w:val="00F111E0"/>
    <w:rsid w:val="00F146DB"/>
    <w:rsid w:val="00F176B3"/>
    <w:rsid w:val="00F21CA2"/>
    <w:rsid w:val="00F21F16"/>
    <w:rsid w:val="00F23C41"/>
    <w:rsid w:val="00F33D1E"/>
    <w:rsid w:val="00F36F63"/>
    <w:rsid w:val="00F37DB4"/>
    <w:rsid w:val="00F41DED"/>
    <w:rsid w:val="00F51909"/>
    <w:rsid w:val="00F51D8A"/>
    <w:rsid w:val="00F543AB"/>
    <w:rsid w:val="00F575BD"/>
    <w:rsid w:val="00F57E24"/>
    <w:rsid w:val="00F608FD"/>
    <w:rsid w:val="00F61898"/>
    <w:rsid w:val="00F62E01"/>
    <w:rsid w:val="00F636F4"/>
    <w:rsid w:val="00F65FCD"/>
    <w:rsid w:val="00F66ABA"/>
    <w:rsid w:val="00F702B9"/>
    <w:rsid w:val="00F70AAF"/>
    <w:rsid w:val="00F71FC2"/>
    <w:rsid w:val="00F74A3F"/>
    <w:rsid w:val="00F80A8F"/>
    <w:rsid w:val="00F81D38"/>
    <w:rsid w:val="00F823CD"/>
    <w:rsid w:val="00F82C3F"/>
    <w:rsid w:val="00F85CDA"/>
    <w:rsid w:val="00F874B1"/>
    <w:rsid w:val="00F96AB8"/>
    <w:rsid w:val="00FA055C"/>
    <w:rsid w:val="00FA0C86"/>
    <w:rsid w:val="00FA0FB7"/>
    <w:rsid w:val="00FA1541"/>
    <w:rsid w:val="00FA2E31"/>
    <w:rsid w:val="00FA4A0D"/>
    <w:rsid w:val="00FA4CE9"/>
    <w:rsid w:val="00FA6887"/>
    <w:rsid w:val="00FA6CDE"/>
    <w:rsid w:val="00FB141F"/>
    <w:rsid w:val="00FB4AE2"/>
    <w:rsid w:val="00FB7226"/>
    <w:rsid w:val="00FC0169"/>
    <w:rsid w:val="00FD1680"/>
    <w:rsid w:val="00FD29B0"/>
    <w:rsid w:val="00FD3EE7"/>
    <w:rsid w:val="00FD48C9"/>
    <w:rsid w:val="00FD5838"/>
    <w:rsid w:val="00FD58AF"/>
    <w:rsid w:val="00FE174D"/>
    <w:rsid w:val="00FE3536"/>
    <w:rsid w:val="00FE3F00"/>
    <w:rsid w:val="00FE496A"/>
    <w:rsid w:val="00FE58E3"/>
    <w:rsid w:val="00FF0706"/>
    <w:rsid w:val="00FF255E"/>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1144C"/>
  <w15:docId w15:val="{5B578BAD-8463-4AD5-9B1A-40700CB2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4E"/>
    <w:pPr>
      <w:spacing w:after="200" w:line="276" w:lineRule="auto"/>
    </w:pPr>
    <w:rPr>
      <w:rFonts w:cs="Calibri"/>
      <w:lang w:val="lv-LV"/>
    </w:rPr>
  </w:style>
  <w:style w:type="paragraph" w:styleId="Heading3">
    <w:name w:val="heading 3"/>
    <w:basedOn w:val="Normal"/>
    <w:link w:val="Heading3Char"/>
    <w:uiPriority w:val="9"/>
    <w:qFormat/>
    <w:rsid w:val="001551A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3553E"/>
    <w:rPr>
      <w:color w:val="0000FF"/>
      <w:u w:val="single"/>
    </w:rPr>
  </w:style>
  <w:style w:type="character" w:styleId="FollowedHyperlink">
    <w:name w:val="FollowedHyperlink"/>
    <w:basedOn w:val="DefaultParagraphFont"/>
    <w:uiPriority w:val="99"/>
    <w:semiHidden/>
    <w:rsid w:val="0033553E"/>
    <w:rPr>
      <w:color w:val="954F72"/>
      <w:u w:val="single"/>
    </w:rPr>
  </w:style>
  <w:style w:type="paragraph" w:styleId="BalloonText">
    <w:name w:val="Balloon Text"/>
    <w:basedOn w:val="Normal"/>
    <w:link w:val="BalloonTextChar"/>
    <w:uiPriority w:val="99"/>
    <w:semiHidden/>
    <w:rsid w:val="006E6813"/>
    <w:pPr>
      <w:spacing w:after="0" w:line="240" w:lineRule="auto"/>
    </w:pPr>
    <w:rPr>
      <w:rFonts w:ascii="Segoe UI" w:hAnsi="Segoe UI" w:cs="Segoe UI"/>
      <w:sz w:val="18"/>
      <w:szCs w:val="18"/>
      <w:lang w:val="en-US" w:eastAsia="ru-RU"/>
    </w:rPr>
  </w:style>
  <w:style w:type="character" w:customStyle="1" w:styleId="BalloonTextChar">
    <w:name w:val="Balloon Text Char"/>
    <w:basedOn w:val="DefaultParagraphFont"/>
    <w:link w:val="BalloonText"/>
    <w:uiPriority w:val="99"/>
    <w:semiHidden/>
    <w:rsid w:val="006E6813"/>
    <w:rPr>
      <w:rFonts w:ascii="Segoe UI" w:hAnsi="Segoe UI" w:cs="Segoe UI"/>
      <w:sz w:val="18"/>
      <w:szCs w:val="18"/>
    </w:rPr>
  </w:style>
  <w:style w:type="paragraph" w:styleId="ListParagraph">
    <w:name w:val="List Paragraph"/>
    <w:basedOn w:val="Normal"/>
    <w:uiPriority w:val="34"/>
    <w:qFormat/>
    <w:rsid w:val="00BB74F0"/>
    <w:pPr>
      <w:ind w:left="720"/>
      <w:contextualSpacing/>
    </w:pPr>
  </w:style>
  <w:style w:type="paragraph" w:styleId="Header">
    <w:name w:val="header"/>
    <w:basedOn w:val="Normal"/>
    <w:link w:val="HeaderChar"/>
    <w:uiPriority w:val="99"/>
    <w:rsid w:val="0013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447"/>
  </w:style>
  <w:style w:type="paragraph" w:styleId="Footer">
    <w:name w:val="footer"/>
    <w:basedOn w:val="Normal"/>
    <w:link w:val="FooterChar"/>
    <w:uiPriority w:val="99"/>
    <w:rsid w:val="0013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447"/>
  </w:style>
  <w:style w:type="character" w:styleId="CommentReference">
    <w:name w:val="annotation reference"/>
    <w:basedOn w:val="DefaultParagraphFont"/>
    <w:uiPriority w:val="99"/>
    <w:semiHidden/>
    <w:rsid w:val="00543501"/>
    <w:rPr>
      <w:sz w:val="16"/>
      <w:szCs w:val="16"/>
    </w:rPr>
  </w:style>
  <w:style w:type="paragraph" w:styleId="CommentText">
    <w:name w:val="annotation text"/>
    <w:basedOn w:val="Normal"/>
    <w:link w:val="CommentTextChar"/>
    <w:uiPriority w:val="99"/>
    <w:semiHidden/>
    <w:rsid w:val="00543501"/>
    <w:pPr>
      <w:spacing w:line="240" w:lineRule="auto"/>
    </w:pPr>
    <w:rPr>
      <w:sz w:val="20"/>
      <w:szCs w:val="20"/>
      <w:lang w:val="en-US" w:eastAsia="ru-RU"/>
    </w:rPr>
  </w:style>
  <w:style w:type="character" w:customStyle="1" w:styleId="CommentTextChar">
    <w:name w:val="Comment Text Char"/>
    <w:basedOn w:val="DefaultParagraphFont"/>
    <w:link w:val="CommentText"/>
    <w:uiPriority w:val="99"/>
    <w:rsid w:val="00543501"/>
    <w:rPr>
      <w:sz w:val="20"/>
      <w:szCs w:val="20"/>
    </w:rPr>
  </w:style>
  <w:style w:type="paragraph" w:styleId="CommentSubject">
    <w:name w:val="annotation subject"/>
    <w:basedOn w:val="CommentText"/>
    <w:next w:val="CommentText"/>
    <w:link w:val="CommentSubjectChar"/>
    <w:uiPriority w:val="99"/>
    <w:semiHidden/>
    <w:rsid w:val="00543501"/>
    <w:rPr>
      <w:b/>
      <w:bCs/>
    </w:rPr>
  </w:style>
  <w:style w:type="character" w:customStyle="1" w:styleId="CommentSubjectChar">
    <w:name w:val="Comment Subject Char"/>
    <w:basedOn w:val="CommentTextChar"/>
    <w:link w:val="CommentSubject"/>
    <w:uiPriority w:val="99"/>
    <w:semiHidden/>
    <w:rsid w:val="00543501"/>
    <w:rPr>
      <w:b/>
      <w:bCs/>
      <w:sz w:val="20"/>
      <w:szCs w:val="20"/>
    </w:rPr>
  </w:style>
  <w:style w:type="character" w:styleId="Strong">
    <w:name w:val="Strong"/>
    <w:basedOn w:val="DefaultParagraphFont"/>
    <w:uiPriority w:val="22"/>
    <w:qFormat/>
    <w:rsid w:val="006C1EC1"/>
    <w:rPr>
      <w:b/>
      <w:bCs/>
    </w:rPr>
  </w:style>
  <w:style w:type="paragraph" w:customStyle="1" w:styleId="doc-ti">
    <w:name w:val="doc-ti"/>
    <w:basedOn w:val="Normal"/>
    <w:uiPriority w:val="99"/>
    <w:rsid w:val="006C1EC1"/>
    <w:pPr>
      <w:spacing w:before="240" w:after="120" w:line="240" w:lineRule="auto"/>
      <w:jc w:val="center"/>
    </w:pPr>
    <w:rPr>
      <w:rFonts w:ascii="Times New Roman" w:eastAsia="Times New Roman" w:hAnsi="Times New Roman" w:cs="Times New Roman"/>
      <w:b/>
      <w:bCs/>
      <w:sz w:val="24"/>
      <w:szCs w:val="24"/>
      <w:lang w:eastAsia="lv-LV"/>
    </w:rPr>
  </w:style>
  <w:style w:type="character" w:styleId="PageNumber">
    <w:name w:val="page number"/>
    <w:basedOn w:val="DefaultParagraphFont"/>
    <w:uiPriority w:val="99"/>
    <w:rsid w:val="00902734"/>
  </w:style>
  <w:style w:type="table" w:customStyle="1" w:styleId="TableGridLight1">
    <w:name w:val="Table Grid Light1"/>
    <w:uiPriority w:val="99"/>
    <w:rsid w:val="007A6F2E"/>
    <w:rPr>
      <w:rFonts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v213">
    <w:name w:val="tv213"/>
    <w:basedOn w:val="Normal"/>
    <w:rsid w:val="00F575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uiPriority w:val="99"/>
    <w:rsid w:val="004D68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uiPriority w:val="99"/>
    <w:rsid w:val="00422C8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22C8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A82A12"/>
    <w:rPr>
      <w:color w:val="605E5C"/>
      <w:shd w:val="clear" w:color="auto" w:fill="E1DFDD"/>
    </w:rPr>
  </w:style>
  <w:style w:type="paragraph" w:styleId="NoSpacing">
    <w:name w:val="No Spacing"/>
    <w:link w:val="NoSpacingChar"/>
    <w:uiPriority w:val="1"/>
    <w:qFormat/>
    <w:rsid w:val="00C42B8F"/>
    <w:rPr>
      <w:rFonts w:cs="Calibri"/>
      <w:lang w:val="lv-LV"/>
    </w:rPr>
  </w:style>
  <w:style w:type="paragraph" w:styleId="FootnoteText">
    <w:name w:val="footnote text"/>
    <w:basedOn w:val="Normal"/>
    <w:link w:val="FootnoteTextChar"/>
    <w:uiPriority w:val="99"/>
    <w:semiHidden/>
    <w:unhideWhenUsed/>
    <w:rsid w:val="0008019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19B"/>
    <w:rPr>
      <w:rFonts w:ascii="Times New Roman" w:eastAsia="Times New Roman" w:hAnsi="Times New Roman"/>
      <w:sz w:val="20"/>
      <w:szCs w:val="20"/>
      <w:lang w:val="lv-LV" w:eastAsia="lv-LV"/>
    </w:rPr>
  </w:style>
  <w:style w:type="character" w:styleId="FootnoteReference">
    <w:name w:val="footnote reference"/>
    <w:uiPriority w:val="99"/>
    <w:semiHidden/>
    <w:unhideWhenUsed/>
    <w:rsid w:val="0008019B"/>
    <w:rPr>
      <w:vertAlign w:val="superscript"/>
    </w:rPr>
  </w:style>
  <w:style w:type="paragraph" w:styleId="BodyTextIndent3">
    <w:name w:val="Body Text Indent 3"/>
    <w:basedOn w:val="Normal"/>
    <w:link w:val="BodyTextIndent3Char"/>
    <w:rsid w:val="00C62AF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62AF9"/>
    <w:rPr>
      <w:rFonts w:ascii="Times New Roman" w:eastAsia="Times New Roman" w:hAnsi="Times New Roman"/>
      <w:sz w:val="16"/>
      <w:szCs w:val="16"/>
      <w:lang w:val="lv-LV"/>
    </w:rPr>
  </w:style>
  <w:style w:type="character" w:styleId="Emphasis">
    <w:name w:val="Emphasis"/>
    <w:basedOn w:val="DefaultParagraphFont"/>
    <w:uiPriority w:val="20"/>
    <w:qFormat/>
    <w:rsid w:val="00557C60"/>
    <w:rPr>
      <w:i/>
      <w:iCs/>
    </w:rPr>
  </w:style>
  <w:style w:type="character" w:customStyle="1" w:styleId="NoSpacingChar">
    <w:name w:val="No Spacing Char"/>
    <w:basedOn w:val="DefaultParagraphFont"/>
    <w:link w:val="NoSpacing"/>
    <w:uiPriority w:val="1"/>
    <w:locked/>
    <w:rsid w:val="00976373"/>
    <w:rPr>
      <w:rFonts w:cs="Calibri"/>
      <w:lang w:val="lv-LV"/>
    </w:rPr>
  </w:style>
  <w:style w:type="character" w:customStyle="1" w:styleId="Heading3Char">
    <w:name w:val="Heading 3 Char"/>
    <w:basedOn w:val="DefaultParagraphFont"/>
    <w:link w:val="Heading3"/>
    <w:uiPriority w:val="9"/>
    <w:rsid w:val="001551A7"/>
    <w:rPr>
      <w:rFonts w:ascii="Times New Roman" w:eastAsia="Times New Roman" w:hAnsi="Times New Roman"/>
      <w:b/>
      <w:bCs/>
      <w:sz w:val="27"/>
      <w:szCs w:val="27"/>
      <w:lang w:val="lv-LV" w:eastAsia="lv-LV"/>
    </w:rPr>
  </w:style>
  <w:style w:type="character" w:styleId="UnresolvedMention">
    <w:name w:val="Unresolved Mention"/>
    <w:basedOn w:val="DefaultParagraphFont"/>
    <w:uiPriority w:val="99"/>
    <w:semiHidden/>
    <w:unhideWhenUsed/>
    <w:rsid w:val="00407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1895">
      <w:marLeft w:val="0"/>
      <w:marRight w:val="0"/>
      <w:marTop w:val="0"/>
      <w:marBottom w:val="0"/>
      <w:divBdr>
        <w:top w:val="none" w:sz="0" w:space="0" w:color="auto"/>
        <w:left w:val="none" w:sz="0" w:space="0" w:color="auto"/>
        <w:bottom w:val="none" w:sz="0" w:space="0" w:color="auto"/>
        <w:right w:val="none" w:sz="0" w:space="0" w:color="auto"/>
      </w:divBdr>
    </w:div>
    <w:div w:id="427771896">
      <w:marLeft w:val="0"/>
      <w:marRight w:val="0"/>
      <w:marTop w:val="0"/>
      <w:marBottom w:val="0"/>
      <w:divBdr>
        <w:top w:val="none" w:sz="0" w:space="0" w:color="auto"/>
        <w:left w:val="none" w:sz="0" w:space="0" w:color="auto"/>
        <w:bottom w:val="none" w:sz="0" w:space="0" w:color="auto"/>
        <w:right w:val="none" w:sz="0" w:space="0" w:color="auto"/>
      </w:divBdr>
      <w:divsChild>
        <w:div w:id="427771901">
          <w:marLeft w:val="0"/>
          <w:marRight w:val="0"/>
          <w:marTop w:val="0"/>
          <w:marBottom w:val="567"/>
          <w:divBdr>
            <w:top w:val="none" w:sz="0" w:space="0" w:color="auto"/>
            <w:left w:val="none" w:sz="0" w:space="0" w:color="auto"/>
            <w:bottom w:val="none" w:sz="0" w:space="0" w:color="auto"/>
            <w:right w:val="none" w:sz="0" w:space="0" w:color="auto"/>
          </w:divBdr>
        </w:div>
        <w:div w:id="427771905">
          <w:marLeft w:val="0"/>
          <w:marRight w:val="0"/>
          <w:marTop w:val="480"/>
          <w:marBottom w:val="240"/>
          <w:divBdr>
            <w:top w:val="none" w:sz="0" w:space="0" w:color="auto"/>
            <w:left w:val="none" w:sz="0" w:space="0" w:color="auto"/>
            <w:bottom w:val="none" w:sz="0" w:space="0" w:color="auto"/>
            <w:right w:val="none" w:sz="0" w:space="0" w:color="auto"/>
          </w:divBdr>
        </w:div>
      </w:divsChild>
    </w:div>
    <w:div w:id="427771897">
      <w:marLeft w:val="0"/>
      <w:marRight w:val="0"/>
      <w:marTop w:val="0"/>
      <w:marBottom w:val="0"/>
      <w:divBdr>
        <w:top w:val="none" w:sz="0" w:space="0" w:color="auto"/>
        <w:left w:val="none" w:sz="0" w:space="0" w:color="auto"/>
        <w:bottom w:val="none" w:sz="0" w:space="0" w:color="auto"/>
        <w:right w:val="none" w:sz="0" w:space="0" w:color="auto"/>
      </w:divBdr>
    </w:div>
    <w:div w:id="427771898">
      <w:marLeft w:val="0"/>
      <w:marRight w:val="0"/>
      <w:marTop w:val="0"/>
      <w:marBottom w:val="0"/>
      <w:divBdr>
        <w:top w:val="none" w:sz="0" w:space="0" w:color="auto"/>
        <w:left w:val="none" w:sz="0" w:space="0" w:color="auto"/>
        <w:bottom w:val="none" w:sz="0" w:space="0" w:color="auto"/>
        <w:right w:val="none" w:sz="0" w:space="0" w:color="auto"/>
      </w:divBdr>
    </w:div>
    <w:div w:id="427771899">
      <w:marLeft w:val="0"/>
      <w:marRight w:val="0"/>
      <w:marTop w:val="0"/>
      <w:marBottom w:val="0"/>
      <w:divBdr>
        <w:top w:val="none" w:sz="0" w:space="0" w:color="auto"/>
        <w:left w:val="none" w:sz="0" w:space="0" w:color="auto"/>
        <w:bottom w:val="none" w:sz="0" w:space="0" w:color="auto"/>
        <w:right w:val="none" w:sz="0" w:space="0" w:color="auto"/>
      </w:divBdr>
    </w:div>
    <w:div w:id="427771900">
      <w:marLeft w:val="0"/>
      <w:marRight w:val="0"/>
      <w:marTop w:val="0"/>
      <w:marBottom w:val="0"/>
      <w:divBdr>
        <w:top w:val="none" w:sz="0" w:space="0" w:color="auto"/>
        <w:left w:val="none" w:sz="0" w:space="0" w:color="auto"/>
        <w:bottom w:val="none" w:sz="0" w:space="0" w:color="auto"/>
        <w:right w:val="none" w:sz="0" w:space="0" w:color="auto"/>
      </w:divBdr>
    </w:div>
    <w:div w:id="427771902">
      <w:marLeft w:val="0"/>
      <w:marRight w:val="0"/>
      <w:marTop w:val="0"/>
      <w:marBottom w:val="0"/>
      <w:divBdr>
        <w:top w:val="none" w:sz="0" w:space="0" w:color="auto"/>
        <w:left w:val="none" w:sz="0" w:space="0" w:color="auto"/>
        <w:bottom w:val="none" w:sz="0" w:space="0" w:color="auto"/>
        <w:right w:val="none" w:sz="0" w:space="0" w:color="auto"/>
      </w:divBdr>
    </w:div>
    <w:div w:id="427771903">
      <w:marLeft w:val="0"/>
      <w:marRight w:val="0"/>
      <w:marTop w:val="0"/>
      <w:marBottom w:val="0"/>
      <w:divBdr>
        <w:top w:val="none" w:sz="0" w:space="0" w:color="auto"/>
        <w:left w:val="none" w:sz="0" w:space="0" w:color="auto"/>
        <w:bottom w:val="none" w:sz="0" w:space="0" w:color="auto"/>
        <w:right w:val="none" w:sz="0" w:space="0" w:color="auto"/>
      </w:divBdr>
    </w:div>
    <w:div w:id="427771904">
      <w:marLeft w:val="0"/>
      <w:marRight w:val="0"/>
      <w:marTop w:val="0"/>
      <w:marBottom w:val="0"/>
      <w:divBdr>
        <w:top w:val="none" w:sz="0" w:space="0" w:color="auto"/>
        <w:left w:val="none" w:sz="0" w:space="0" w:color="auto"/>
        <w:bottom w:val="none" w:sz="0" w:space="0" w:color="auto"/>
        <w:right w:val="none" w:sz="0" w:space="0" w:color="auto"/>
      </w:divBdr>
    </w:div>
    <w:div w:id="427771906">
      <w:marLeft w:val="0"/>
      <w:marRight w:val="0"/>
      <w:marTop w:val="0"/>
      <w:marBottom w:val="0"/>
      <w:divBdr>
        <w:top w:val="none" w:sz="0" w:space="0" w:color="auto"/>
        <w:left w:val="none" w:sz="0" w:space="0" w:color="auto"/>
        <w:bottom w:val="none" w:sz="0" w:space="0" w:color="auto"/>
        <w:right w:val="none" w:sz="0" w:space="0" w:color="auto"/>
      </w:divBdr>
    </w:div>
    <w:div w:id="427771907">
      <w:marLeft w:val="0"/>
      <w:marRight w:val="0"/>
      <w:marTop w:val="0"/>
      <w:marBottom w:val="0"/>
      <w:divBdr>
        <w:top w:val="none" w:sz="0" w:space="0" w:color="auto"/>
        <w:left w:val="none" w:sz="0" w:space="0" w:color="auto"/>
        <w:bottom w:val="none" w:sz="0" w:space="0" w:color="auto"/>
        <w:right w:val="none" w:sz="0" w:space="0" w:color="auto"/>
      </w:divBdr>
    </w:div>
    <w:div w:id="427771908">
      <w:marLeft w:val="0"/>
      <w:marRight w:val="0"/>
      <w:marTop w:val="0"/>
      <w:marBottom w:val="0"/>
      <w:divBdr>
        <w:top w:val="none" w:sz="0" w:space="0" w:color="auto"/>
        <w:left w:val="none" w:sz="0" w:space="0" w:color="auto"/>
        <w:bottom w:val="none" w:sz="0" w:space="0" w:color="auto"/>
        <w:right w:val="none" w:sz="0" w:space="0" w:color="auto"/>
      </w:divBdr>
      <w:divsChild>
        <w:div w:id="427771915">
          <w:marLeft w:val="0"/>
          <w:marRight w:val="0"/>
          <w:marTop w:val="0"/>
          <w:marBottom w:val="0"/>
          <w:divBdr>
            <w:top w:val="none" w:sz="0" w:space="0" w:color="auto"/>
            <w:left w:val="none" w:sz="0" w:space="0" w:color="auto"/>
            <w:bottom w:val="none" w:sz="0" w:space="0" w:color="auto"/>
            <w:right w:val="none" w:sz="0" w:space="0" w:color="auto"/>
          </w:divBdr>
          <w:divsChild>
            <w:div w:id="4277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910">
      <w:marLeft w:val="0"/>
      <w:marRight w:val="0"/>
      <w:marTop w:val="0"/>
      <w:marBottom w:val="0"/>
      <w:divBdr>
        <w:top w:val="none" w:sz="0" w:space="0" w:color="auto"/>
        <w:left w:val="none" w:sz="0" w:space="0" w:color="auto"/>
        <w:bottom w:val="none" w:sz="0" w:space="0" w:color="auto"/>
        <w:right w:val="none" w:sz="0" w:space="0" w:color="auto"/>
      </w:divBdr>
      <w:divsChild>
        <w:div w:id="427771911">
          <w:marLeft w:val="0"/>
          <w:marRight w:val="0"/>
          <w:marTop w:val="0"/>
          <w:marBottom w:val="0"/>
          <w:divBdr>
            <w:top w:val="none" w:sz="0" w:space="0" w:color="auto"/>
            <w:left w:val="none" w:sz="0" w:space="0" w:color="auto"/>
            <w:bottom w:val="none" w:sz="0" w:space="0" w:color="auto"/>
            <w:right w:val="none" w:sz="0" w:space="0" w:color="auto"/>
          </w:divBdr>
          <w:divsChild>
            <w:div w:id="427771921">
              <w:marLeft w:val="0"/>
              <w:marRight w:val="0"/>
              <w:marTop w:val="0"/>
              <w:marBottom w:val="0"/>
              <w:divBdr>
                <w:top w:val="none" w:sz="0" w:space="0" w:color="auto"/>
                <w:left w:val="none" w:sz="0" w:space="0" w:color="auto"/>
                <w:bottom w:val="none" w:sz="0" w:space="0" w:color="auto"/>
                <w:right w:val="none" w:sz="0" w:space="0" w:color="auto"/>
              </w:divBdr>
              <w:divsChild>
                <w:div w:id="427771918">
                  <w:marLeft w:val="0"/>
                  <w:marRight w:val="0"/>
                  <w:marTop w:val="0"/>
                  <w:marBottom w:val="0"/>
                  <w:divBdr>
                    <w:top w:val="none" w:sz="0" w:space="0" w:color="auto"/>
                    <w:left w:val="none" w:sz="0" w:space="0" w:color="auto"/>
                    <w:bottom w:val="none" w:sz="0" w:space="0" w:color="auto"/>
                    <w:right w:val="none" w:sz="0" w:space="0" w:color="auto"/>
                  </w:divBdr>
                  <w:divsChild>
                    <w:div w:id="427771916">
                      <w:marLeft w:val="1"/>
                      <w:marRight w:val="1"/>
                      <w:marTop w:val="0"/>
                      <w:marBottom w:val="0"/>
                      <w:divBdr>
                        <w:top w:val="none" w:sz="0" w:space="0" w:color="auto"/>
                        <w:left w:val="none" w:sz="0" w:space="0" w:color="auto"/>
                        <w:bottom w:val="none" w:sz="0" w:space="0" w:color="auto"/>
                        <w:right w:val="none" w:sz="0" w:space="0" w:color="auto"/>
                      </w:divBdr>
                      <w:divsChild>
                        <w:div w:id="427771913">
                          <w:marLeft w:val="0"/>
                          <w:marRight w:val="0"/>
                          <w:marTop w:val="0"/>
                          <w:marBottom w:val="0"/>
                          <w:divBdr>
                            <w:top w:val="none" w:sz="0" w:space="0" w:color="auto"/>
                            <w:left w:val="none" w:sz="0" w:space="0" w:color="auto"/>
                            <w:bottom w:val="none" w:sz="0" w:space="0" w:color="auto"/>
                            <w:right w:val="none" w:sz="0" w:space="0" w:color="auto"/>
                          </w:divBdr>
                          <w:divsChild>
                            <w:div w:id="427771912">
                              <w:marLeft w:val="0"/>
                              <w:marRight w:val="0"/>
                              <w:marTop w:val="0"/>
                              <w:marBottom w:val="360"/>
                              <w:divBdr>
                                <w:top w:val="none" w:sz="0" w:space="0" w:color="auto"/>
                                <w:left w:val="none" w:sz="0" w:space="0" w:color="auto"/>
                                <w:bottom w:val="none" w:sz="0" w:space="0" w:color="auto"/>
                                <w:right w:val="none" w:sz="0" w:space="0" w:color="auto"/>
                              </w:divBdr>
                              <w:divsChild>
                                <w:div w:id="427771909">
                                  <w:marLeft w:val="0"/>
                                  <w:marRight w:val="0"/>
                                  <w:marTop w:val="0"/>
                                  <w:marBottom w:val="0"/>
                                  <w:divBdr>
                                    <w:top w:val="none" w:sz="0" w:space="0" w:color="auto"/>
                                    <w:left w:val="none" w:sz="0" w:space="0" w:color="auto"/>
                                    <w:bottom w:val="none" w:sz="0" w:space="0" w:color="auto"/>
                                    <w:right w:val="none" w:sz="0" w:space="0" w:color="auto"/>
                                  </w:divBdr>
                                  <w:divsChild>
                                    <w:div w:id="427771917">
                                      <w:marLeft w:val="0"/>
                                      <w:marRight w:val="0"/>
                                      <w:marTop w:val="0"/>
                                      <w:marBottom w:val="0"/>
                                      <w:divBdr>
                                        <w:top w:val="none" w:sz="0" w:space="0" w:color="auto"/>
                                        <w:left w:val="none" w:sz="0" w:space="0" w:color="auto"/>
                                        <w:bottom w:val="none" w:sz="0" w:space="0" w:color="auto"/>
                                        <w:right w:val="none" w:sz="0" w:space="0" w:color="auto"/>
                                      </w:divBdr>
                                      <w:divsChild>
                                        <w:div w:id="4277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771920">
      <w:marLeft w:val="390"/>
      <w:marRight w:val="390"/>
      <w:marTop w:val="0"/>
      <w:marBottom w:val="0"/>
      <w:divBdr>
        <w:top w:val="none" w:sz="0" w:space="0" w:color="auto"/>
        <w:left w:val="none" w:sz="0" w:space="0" w:color="auto"/>
        <w:bottom w:val="none" w:sz="0" w:space="0" w:color="auto"/>
        <w:right w:val="none" w:sz="0" w:space="0" w:color="auto"/>
      </w:divBdr>
    </w:div>
    <w:div w:id="152898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8A8B-D92A-4D5C-8CB7-7819296F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1967</Words>
  <Characters>11216</Characters>
  <Application>Microsoft Office Word</Application>
  <DocSecurity>0</DocSecurity>
  <Lines>93</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 Grozījumi likumā "Par reglamentētājām profesijām un profesionālās kvalifikācijas atzīšanu""</vt:lpstr>
      <vt:lpstr>Likumprojekts " Grozījumi likumā "Par reglamentētājām profesijām un profesionālās kvalifikācijas atzīšanu""</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 Grozījumi likumā "Par reglamentētājām profesijām un profesionālās kvalifikācijas atzīšanu""</dc:title>
  <dc:creator>Santa.Balasa@sam.gov.lv</dc:creator>
  <cp:keywords>Anotācija</cp:keywords>
  <dc:description>Balaša  67028071Santa.Balasa@sam.gov.lv</dc:description>
  <cp:lastModifiedBy>Sintija Ziedone</cp:lastModifiedBy>
  <cp:revision>9</cp:revision>
  <cp:lastPrinted>2020-07-08T14:15:00Z</cp:lastPrinted>
  <dcterms:created xsi:type="dcterms:W3CDTF">2021-04-08T10:10:00Z</dcterms:created>
  <dcterms:modified xsi:type="dcterms:W3CDTF">2021-04-09T07:30:00Z</dcterms:modified>
</cp:coreProperties>
</file>