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D67C" w14:textId="427F2AE5" w:rsidR="00672F29" w:rsidRPr="004A40A8" w:rsidRDefault="00672F29"/>
    <w:p w14:paraId="16C6D32B" w14:textId="77777777" w:rsidR="00CB6E72" w:rsidRPr="004A40A8" w:rsidRDefault="00CB6E72"/>
    <w:p w14:paraId="64CF8570" w14:textId="56FA6BAB" w:rsidR="00CB6E72" w:rsidRPr="004A40A8" w:rsidRDefault="005777B8" w:rsidP="005777B8">
      <w:pPr>
        <w:jc w:val="center"/>
      </w:pPr>
      <w:r w:rsidRPr="004A40A8">
        <w:rPr>
          <w:noProof/>
        </w:rPr>
        <w:drawing>
          <wp:inline distT="0" distB="0" distL="0" distR="0" wp14:anchorId="2835AFEE" wp14:editId="04963DCB">
            <wp:extent cx="2578443" cy="2578443"/>
            <wp:effectExtent l="0" t="0" r="0" b="0"/>
            <wp:docPr id="124724524" name="Picture 1" descr="A logo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24524" name="Picture 1" descr="A logo of a coat of arm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0735" cy="2600735"/>
                    </a:xfrm>
                    <a:prstGeom prst="rect">
                      <a:avLst/>
                    </a:prstGeom>
                    <a:noFill/>
                    <a:ln>
                      <a:noFill/>
                    </a:ln>
                  </pic:spPr>
                </pic:pic>
              </a:graphicData>
            </a:graphic>
          </wp:inline>
        </w:drawing>
      </w:r>
    </w:p>
    <w:p w14:paraId="11F000BC" w14:textId="77777777" w:rsidR="00FF2937" w:rsidRPr="004A40A8" w:rsidRDefault="00FF2937" w:rsidP="00672F29">
      <w:pPr>
        <w:jc w:val="center"/>
        <w:rPr>
          <w:b/>
          <w:bCs/>
        </w:rPr>
      </w:pPr>
    </w:p>
    <w:p w14:paraId="53843F0D" w14:textId="3DB2DDB3" w:rsidR="00672F29" w:rsidRPr="004A40A8" w:rsidRDefault="00672F29" w:rsidP="00672F29">
      <w:pPr>
        <w:jc w:val="center"/>
        <w:rPr>
          <w:b/>
          <w:bCs/>
          <w:sz w:val="28"/>
          <w:szCs w:val="28"/>
        </w:rPr>
      </w:pPr>
      <w:r w:rsidRPr="004A40A8">
        <w:rPr>
          <w:b/>
          <w:bCs/>
          <w:sz w:val="28"/>
          <w:szCs w:val="28"/>
        </w:rPr>
        <w:t>VADLĪNIJAS</w:t>
      </w:r>
    </w:p>
    <w:p w14:paraId="687BE7ED" w14:textId="77777777" w:rsidR="00F31DE5" w:rsidRPr="004A40A8" w:rsidRDefault="00F31DE5" w:rsidP="00672F29">
      <w:pPr>
        <w:jc w:val="center"/>
        <w:rPr>
          <w:b/>
          <w:bCs/>
          <w:sz w:val="28"/>
          <w:szCs w:val="28"/>
        </w:rPr>
      </w:pPr>
    </w:p>
    <w:p w14:paraId="0BF7AB9A" w14:textId="0BB2E15A" w:rsidR="00E45E5D" w:rsidRPr="004A40A8" w:rsidRDefault="00E45E5D" w:rsidP="00672F29">
      <w:pPr>
        <w:jc w:val="center"/>
        <w:rPr>
          <w:b/>
          <w:bCs/>
          <w:sz w:val="28"/>
          <w:szCs w:val="28"/>
        </w:rPr>
      </w:pPr>
      <w:r w:rsidRPr="004A40A8">
        <w:rPr>
          <w:b/>
          <w:bCs/>
          <w:sz w:val="28"/>
          <w:szCs w:val="28"/>
        </w:rPr>
        <w:t xml:space="preserve"> </w:t>
      </w:r>
      <w:r w:rsidR="0004005E" w:rsidRPr="004A40A8">
        <w:rPr>
          <w:b/>
          <w:bCs/>
          <w:sz w:val="28"/>
          <w:szCs w:val="28"/>
        </w:rPr>
        <w:t>TUVAS DARBĪBAS BEZVADU PIEKĻUVES PUNKTU IZVIETOŠANAI</w:t>
      </w:r>
    </w:p>
    <w:p w14:paraId="7F0CAA95" w14:textId="77777777" w:rsidR="00672F29" w:rsidRPr="004A40A8" w:rsidRDefault="00672F29"/>
    <w:p w14:paraId="096B64F9" w14:textId="77777777" w:rsidR="00CB6E72" w:rsidRPr="004A40A8" w:rsidRDefault="00CB6E72"/>
    <w:p w14:paraId="0ED73EC6" w14:textId="77777777" w:rsidR="00CB6E72" w:rsidRPr="004A40A8" w:rsidRDefault="00CB6E72"/>
    <w:p w14:paraId="2FF4896A" w14:textId="77777777" w:rsidR="00207CBB" w:rsidRPr="004A40A8" w:rsidRDefault="00207CBB"/>
    <w:p w14:paraId="17324381" w14:textId="77777777" w:rsidR="00CB6E72" w:rsidRPr="004A40A8" w:rsidRDefault="00CB6E72"/>
    <w:p w14:paraId="0938B77C" w14:textId="77777777" w:rsidR="00CB6E72" w:rsidRPr="004A40A8" w:rsidRDefault="00CB6E72"/>
    <w:p w14:paraId="59613571" w14:textId="77777777" w:rsidR="005D59A2" w:rsidRPr="004A40A8" w:rsidRDefault="005D59A2"/>
    <w:p w14:paraId="5FAE7290" w14:textId="77777777" w:rsidR="00363485" w:rsidRPr="004A40A8" w:rsidRDefault="00363485"/>
    <w:p w14:paraId="0EF554B5" w14:textId="77777777" w:rsidR="00363485" w:rsidRPr="004A40A8" w:rsidRDefault="00363485"/>
    <w:p w14:paraId="02B3A25B" w14:textId="77777777" w:rsidR="005D59A2" w:rsidRPr="004A40A8" w:rsidRDefault="005D59A2"/>
    <w:p w14:paraId="4EA6840E" w14:textId="045DAC40" w:rsidR="00CB6E72" w:rsidRPr="004A40A8" w:rsidRDefault="005F5633" w:rsidP="00F31DE5">
      <w:pPr>
        <w:jc w:val="center"/>
        <w:rPr>
          <w:b/>
          <w:bCs/>
          <w:szCs w:val="24"/>
        </w:rPr>
      </w:pPr>
      <w:r w:rsidRPr="004A40A8">
        <w:rPr>
          <w:b/>
          <w:bCs/>
          <w:szCs w:val="24"/>
        </w:rPr>
        <w:t>2</w:t>
      </w:r>
      <w:r w:rsidR="00F31DE5" w:rsidRPr="004A40A8">
        <w:rPr>
          <w:b/>
          <w:bCs/>
          <w:szCs w:val="24"/>
        </w:rPr>
        <w:t>025</w:t>
      </w:r>
    </w:p>
    <w:p w14:paraId="10ADD908" w14:textId="77777777" w:rsidR="004D4082" w:rsidRPr="004A40A8" w:rsidRDefault="004D4082" w:rsidP="00F31DE5">
      <w:pPr>
        <w:jc w:val="center"/>
        <w:rPr>
          <w:b/>
          <w:bCs/>
        </w:rPr>
      </w:pPr>
    </w:p>
    <w:p w14:paraId="5B9E06A1" w14:textId="77777777" w:rsidR="004D4082" w:rsidRPr="004A40A8" w:rsidRDefault="004D4082" w:rsidP="00F31DE5">
      <w:pPr>
        <w:jc w:val="center"/>
        <w:rPr>
          <w:b/>
          <w:bCs/>
        </w:rPr>
      </w:pPr>
    </w:p>
    <w:p w14:paraId="0A6F55CF" w14:textId="77777777" w:rsidR="004D4082" w:rsidRPr="004A40A8" w:rsidRDefault="004D4082" w:rsidP="00F31DE5">
      <w:pPr>
        <w:jc w:val="center"/>
        <w:rPr>
          <w:b/>
          <w:bCs/>
        </w:rPr>
      </w:pPr>
    </w:p>
    <w:sdt>
      <w:sdtPr>
        <w:rPr>
          <w:rFonts w:ascii="Times New Roman" w:eastAsiaTheme="minorHAnsi" w:hAnsi="Times New Roman" w:cstheme="minorBidi"/>
          <w:color w:val="auto"/>
          <w:kern w:val="2"/>
          <w:sz w:val="24"/>
          <w:szCs w:val="22"/>
          <w:lang w:val="lv-LV"/>
          <w14:ligatures w14:val="standardContextual"/>
        </w:rPr>
        <w:id w:val="19899793"/>
        <w:docPartObj>
          <w:docPartGallery w:val="Table of Contents"/>
          <w:docPartUnique/>
        </w:docPartObj>
      </w:sdtPr>
      <w:sdtEndPr>
        <w:rPr>
          <w:b/>
          <w:bCs/>
        </w:rPr>
      </w:sdtEndPr>
      <w:sdtContent>
        <w:p w14:paraId="4B1AF235" w14:textId="36C938E1" w:rsidR="00534A36" w:rsidRPr="004A40A8" w:rsidRDefault="005F5633" w:rsidP="00327BB7">
          <w:pPr>
            <w:pStyle w:val="TOCHeading"/>
            <w:jc w:val="center"/>
            <w:rPr>
              <w:rFonts w:ascii="Times New Roman" w:hAnsi="Times New Roman" w:cs="Times New Roman"/>
              <w:b/>
              <w:bCs/>
              <w:color w:val="auto"/>
              <w:sz w:val="24"/>
              <w:szCs w:val="24"/>
              <w:lang w:val="lv-LV"/>
            </w:rPr>
          </w:pPr>
          <w:r w:rsidRPr="004A40A8">
            <w:rPr>
              <w:rFonts w:ascii="Times New Roman" w:hAnsi="Times New Roman" w:cs="Times New Roman"/>
              <w:b/>
              <w:bCs/>
              <w:color w:val="auto"/>
              <w:sz w:val="24"/>
              <w:szCs w:val="24"/>
              <w:lang w:val="lv-LV"/>
            </w:rPr>
            <w:t>Saturs</w:t>
          </w:r>
        </w:p>
        <w:p w14:paraId="1746DE2E" w14:textId="352C0561" w:rsidR="00C10336" w:rsidRDefault="00534A36">
          <w:pPr>
            <w:pStyle w:val="TOC1"/>
            <w:tabs>
              <w:tab w:val="right" w:leader="dot" w:pos="8296"/>
            </w:tabs>
            <w:rPr>
              <w:rFonts w:asciiTheme="minorHAnsi" w:eastAsiaTheme="minorEastAsia" w:hAnsiTheme="minorHAnsi"/>
              <w:noProof/>
              <w:szCs w:val="24"/>
              <w:lang w:eastAsia="lv-LV"/>
            </w:rPr>
          </w:pPr>
          <w:r w:rsidRPr="004A40A8">
            <w:fldChar w:fldCharType="begin"/>
          </w:r>
          <w:r w:rsidRPr="004A40A8">
            <w:instrText xml:space="preserve"> TOC \o "1-3" \h \z \u </w:instrText>
          </w:r>
          <w:r w:rsidRPr="004A40A8">
            <w:fldChar w:fldCharType="separate"/>
          </w:r>
          <w:hyperlink w:anchor="_Toc215730726" w:history="1">
            <w:r w:rsidR="00C10336" w:rsidRPr="000346A5">
              <w:rPr>
                <w:rStyle w:val="Hyperlink"/>
                <w:rFonts w:cs="Times New Roman"/>
                <w:b/>
                <w:bCs/>
                <w:noProof/>
              </w:rPr>
              <w:t>Ievads</w:t>
            </w:r>
            <w:r w:rsidR="00C10336">
              <w:rPr>
                <w:noProof/>
                <w:webHidden/>
              </w:rPr>
              <w:tab/>
            </w:r>
            <w:r w:rsidR="00C10336">
              <w:rPr>
                <w:noProof/>
                <w:webHidden/>
              </w:rPr>
              <w:fldChar w:fldCharType="begin"/>
            </w:r>
            <w:r w:rsidR="00C10336">
              <w:rPr>
                <w:noProof/>
                <w:webHidden/>
              </w:rPr>
              <w:instrText xml:space="preserve"> PAGEREF _Toc215730726 \h </w:instrText>
            </w:r>
            <w:r w:rsidR="00C10336">
              <w:rPr>
                <w:noProof/>
                <w:webHidden/>
              </w:rPr>
            </w:r>
            <w:r w:rsidR="00C10336">
              <w:rPr>
                <w:noProof/>
                <w:webHidden/>
              </w:rPr>
              <w:fldChar w:fldCharType="separate"/>
            </w:r>
            <w:r w:rsidR="00C10336">
              <w:rPr>
                <w:noProof/>
                <w:webHidden/>
              </w:rPr>
              <w:t>3</w:t>
            </w:r>
            <w:r w:rsidR="00C10336">
              <w:rPr>
                <w:noProof/>
                <w:webHidden/>
              </w:rPr>
              <w:fldChar w:fldCharType="end"/>
            </w:r>
          </w:hyperlink>
        </w:p>
        <w:p w14:paraId="14C65A4A" w14:textId="7C66526C" w:rsidR="00C10336" w:rsidRDefault="00C10336">
          <w:pPr>
            <w:pStyle w:val="TOC1"/>
            <w:tabs>
              <w:tab w:val="left" w:pos="480"/>
              <w:tab w:val="right" w:leader="dot" w:pos="8296"/>
            </w:tabs>
            <w:rPr>
              <w:rFonts w:asciiTheme="minorHAnsi" w:eastAsiaTheme="minorEastAsia" w:hAnsiTheme="minorHAnsi"/>
              <w:noProof/>
              <w:szCs w:val="24"/>
              <w:lang w:eastAsia="lv-LV"/>
            </w:rPr>
          </w:pPr>
          <w:hyperlink w:anchor="_Toc215730727" w:history="1">
            <w:r w:rsidRPr="000346A5">
              <w:rPr>
                <w:rStyle w:val="Hyperlink"/>
                <w:rFonts w:cs="Times New Roman"/>
                <w:b/>
                <w:bCs/>
                <w:noProof/>
              </w:rPr>
              <w:t>1.</w:t>
            </w:r>
            <w:r>
              <w:rPr>
                <w:rFonts w:asciiTheme="minorHAnsi" w:eastAsiaTheme="minorEastAsia" w:hAnsiTheme="minorHAnsi"/>
                <w:noProof/>
                <w:szCs w:val="24"/>
                <w:lang w:eastAsia="lv-LV"/>
              </w:rPr>
              <w:tab/>
            </w:r>
            <w:r w:rsidRPr="000346A5">
              <w:rPr>
                <w:rStyle w:val="Hyperlink"/>
                <w:rFonts w:cs="Times New Roman"/>
                <w:b/>
                <w:bCs/>
                <w:noProof/>
              </w:rPr>
              <w:t>Definīcija un tās skaidrojums</w:t>
            </w:r>
            <w:r>
              <w:rPr>
                <w:noProof/>
                <w:webHidden/>
              </w:rPr>
              <w:tab/>
            </w:r>
            <w:r>
              <w:rPr>
                <w:noProof/>
                <w:webHidden/>
              </w:rPr>
              <w:fldChar w:fldCharType="begin"/>
            </w:r>
            <w:r>
              <w:rPr>
                <w:noProof/>
                <w:webHidden/>
              </w:rPr>
              <w:instrText xml:space="preserve"> PAGEREF _Toc215730727 \h </w:instrText>
            </w:r>
            <w:r>
              <w:rPr>
                <w:noProof/>
                <w:webHidden/>
              </w:rPr>
            </w:r>
            <w:r>
              <w:rPr>
                <w:noProof/>
                <w:webHidden/>
              </w:rPr>
              <w:fldChar w:fldCharType="separate"/>
            </w:r>
            <w:r>
              <w:rPr>
                <w:noProof/>
                <w:webHidden/>
              </w:rPr>
              <w:t>4</w:t>
            </w:r>
            <w:r>
              <w:rPr>
                <w:noProof/>
                <w:webHidden/>
              </w:rPr>
              <w:fldChar w:fldCharType="end"/>
            </w:r>
          </w:hyperlink>
        </w:p>
        <w:p w14:paraId="1882789D" w14:textId="2B9B3194" w:rsidR="00C10336" w:rsidRDefault="00C10336">
          <w:pPr>
            <w:pStyle w:val="TOC1"/>
            <w:tabs>
              <w:tab w:val="left" w:pos="480"/>
              <w:tab w:val="right" w:leader="dot" w:pos="8296"/>
            </w:tabs>
            <w:rPr>
              <w:rFonts w:asciiTheme="minorHAnsi" w:eastAsiaTheme="minorEastAsia" w:hAnsiTheme="minorHAnsi"/>
              <w:noProof/>
              <w:szCs w:val="24"/>
              <w:lang w:eastAsia="lv-LV"/>
            </w:rPr>
          </w:pPr>
          <w:hyperlink w:anchor="_Toc215730728" w:history="1">
            <w:r w:rsidRPr="000346A5">
              <w:rPr>
                <w:rStyle w:val="Hyperlink"/>
                <w:rFonts w:cs="Times New Roman"/>
                <w:b/>
                <w:bCs/>
                <w:noProof/>
              </w:rPr>
              <w:t>2.</w:t>
            </w:r>
            <w:r>
              <w:rPr>
                <w:rFonts w:asciiTheme="minorHAnsi" w:eastAsiaTheme="minorEastAsia" w:hAnsiTheme="minorHAnsi"/>
                <w:noProof/>
                <w:szCs w:val="24"/>
                <w:lang w:eastAsia="lv-LV"/>
              </w:rPr>
              <w:tab/>
            </w:r>
            <w:r w:rsidRPr="000346A5">
              <w:rPr>
                <w:rStyle w:val="Hyperlink"/>
                <w:rFonts w:cs="Times New Roman"/>
                <w:b/>
                <w:bCs/>
                <w:noProof/>
              </w:rPr>
              <w:t>Tuvas darbības bezvadu piekļuves punktu reģistrēšana</w:t>
            </w:r>
            <w:r>
              <w:rPr>
                <w:noProof/>
                <w:webHidden/>
              </w:rPr>
              <w:tab/>
            </w:r>
            <w:r>
              <w:rPr>
                <w:noProof/>
                <w:webHidden/>
              </w:rPr>
              <w:fldChar w:fldCharType="begin"/>
            </w:r>
            <w:r>
              <w:rPr>
                <w:noProof/>
                <w:webHidden/>
              </w:rPr>
              <w:instrText xml:space="preserve"> PAGEREF _Toc215730728 \h </w:instrText>
            </w:r>
            <w:r>
              <w:rPr>
                <w:noProof/>
                <w:webHidden/>
              </w:rPr>
            </w:r>
            <w:r>
              <w:rPr>
                <w:noProof/>
                <w:webHidden/>
              </w:rPr>
              <w:fldChar w:fldCharType="separate"/>
            </w:r>
            <w:r>
              <w:rPr>
                <w:noProof/>
                <w:webHidden/>
              </w:rPr>
              <w:t>5</w:t>
            </w:r>
            <w:r>
              <w:rPr>
                <w:noProof/>
                <w:webHidden/>
              </w:rPr>
              <w:fldChar w:fldCharType="end"/>
            </w:r>
          </w:hyperlink>
        </w:p>
        <w:p w14:paraId="6059ED8F" w14:textId="063C2F06" w:rsidR="00C10336" w:rsidRDefault="00C10336">
          <w:pPr>
            <w:pStyle w:val="TOC1"/>
            <w:tabs>
              <w:tab w:val="left" w:pos="480"/>
              <w:tab w:val="right" w:leader="dot" w:pos="8296"/>
            </w:tabs>
            <w:rPr>
              <w:rFonts w:asciiTheme="minorHAnsi" w:eastAsiaTheme="minorEastAsia" w:hAnsiTheme="minorHAnsi"/>
              <w:noProof/>
              <w:szCs w:val="24"/>
              <w:lang w:eastAsia="lv-LV"/>
            </w:rPr>
          </w:pPr>
          <w:hyperlink w:anchor="_Toc215730729" w:history="1">
            <w:r w:rsidRPr="000346A5">
              <w:rPr>
                <w:rStyle w:val="Hyperlink"/>
                <w:rFonts w:cs="Times New Roman"/>
                <w:b/>
                <w:bCs/>
                <w:noProof/>
              </w:rPr>
              <w:t>3.</w:t>
            </w:r>
            <w:r>
              <w:rPr>
                <w:rFonts w:asciiTheme="minorHAnsi" w:eastAsiaTheme="minorEastAsia" w:hAnsiTheme="minorHAnsi"/>
                <w:noProof/>
                <w:szCs w:val="24"/>
                <w:lang w:eastAsia="lv-LV"/>
              </w:rPr>
              <w:tab/>
            </w:r>
            <w:r w:rsidRPr="000346A5">
              <w:rPr>
                <w:rStyle w:val="Hyperlink"/>
                <w:rFonts w:cs="Times New Roman"/>
                <w:b/>
                <w:bCs/>
                <w:noProof/>
              </w:rPr>
              <w:t>Prasības tuvas darbības bezvadu piekļuves punktu izvietošanai</w:t>
            </w:r>
            <w:r>
              <w:rPr>
                <w:noProof/>
                <w:webHidden/>
              </w:rPr>
              <w:tab/>
            </w:r>
            <w:r>
              <w:rPr>
                <w:noProof/>
                <w:webHidden/>
              </w:rPr>
              <w:fldChar w:fldCharType="begin"/>
            </w:r>
            <w:r>
              <w:rPr>
                <w:noProof/>
                <w:webHidden/>
              </w:rPr>
              <w:instrText xml:space="preserve"> PAGEREF _Toc215730729 \h </w:instrText>
            </w:r>
            <w:r>
              <w:rPr>
                <w:noProof/>
                <w:webHidden/>
              </w:rPr>
            </w:r>
            <w:r>
              <w:rPr>
                <w:noProof/>
                <w:webHidden/>
              </w:rPr>
              <w:fldChar w:fldCharType="separate"/>
            </w:r>
            <w:r>
              <w:rPr>
                <w:noProof/>
                <w:webHidden/>
              </w:rPr>
              <w:t>5</w:t>
            </w:r>
            <w:r>
              <w:rPr>
                <w:noProof/>
                <w:webHidden/>
              </w:rPr>
              <w:fldChar w:fldCharType="end"/>
            </w:r>
          </w:hyperlink>
        </w:p>
        <w:p w14:paraId="74FB6E92" w14:textId="577309B4" w:rsidR="00C10336" w:rsidRDefault="00C10336">
          <w:pPr>
            <w:pStyle w:val="TOC1"/>
            <w:tabs>
              <w:tab w:val="left" w:pos="480"/>
              <w:tab w:val="right" w:leader="dot" w:pos="8296"/>
            </w:tabs>
            <w:rPr>
              <w:rFonts w:asciiTheme="minorHAnsi" w:eastAsiaTheme="minorEastAsia" w:hAnsiTheme="minorHAnsi"/>
              <w:noProof/>
              <w:szCs w:val="24"/>
              <w:lang w:eastAsia="lv-LV"/>
            </w:rPr>
          </w:pPr>
          <w:hyperlink w:anchor="_Toc215730730" w:history="1">
            <w:r w:rsidRPr="000346A5">
              <w:rPr>
                <w:rStyle w:val="Hyperlink"/>
                <w:rFonts w:eastAsia="Calibri" w:cs="Times New Roman"/>
                <w:b/>
                <w:bCs/>
                <w:noProof/>
                <w:lang w:eastAsia="lv-LV"/>
              </w:rPr>
              <w:t>4.</w:t>
            </w:r>
            <w:r>
              <w:rPr>
                <w:rFonts w:asciiTheme="minorHAnsi" w:eastAsiaTheme="minorEastAsia" w:hAnsiTheme="minorHAnsi"/>
                <w:noProof/>
                <w:szCs w:val="24"/>
                <w:lang w:eastAsia="lv-LV"/>
              </w:rPr>
              <w:tab/>
            </w:r>
            <w:r w:rsidRPr="000346A5">
              <w:rPr>
                <w:rStyle w:val="Hyperlink"/>
                <w:rFonts w:cs="Times New Roman"/>
                <w:b/>
                <w:bCs/>
                <w:noProof/>
              </w:rPr>
              <w:t xml:space="preserve">Tehniskās prasības </w:t>
            </w:r>
            <w:r w:rsidRPr="000346A5">
              <w:rPr>
                <w:rStyle w:val="Hyperlink"/>
                <w:rFonts w:eastAsia="Calibri" w:cs="Times New Roman"/>
                <w:b/>
                <w:bCs/>
                <w:noProof/>
                <w:shd w:val="clear" w:color="auto" w:fill="FFFFFF"/>
                <w:lang w:eastAsia="lv-LV"/>
              </w:rPr>
              <w:t>tuvas darbības bezvadu piekļuves punktu uzstādīšanai</w:t>
            </w:r>
            <w:r>
              <w:rPr>
                <w:noProof/>
                <w:webHidden/>
              </w:rPr>
              <w:tab/>
            </w:r>
            <w:r>
              <w:rPr>
                <w:noProof/>
                <w:webHidden/>
              </w:rPr>
              <w:fldChar w:fldCharType="begin"/>
            </w:r>
            <w:r>
              <w:rPr>
                <w:noProof/>
                <w:webHidden/>
              </w:rPr>
              <w:instrText xml:space="preserve"> PAGEREF _Toc215730730 \h </w:instrText>
            </w:r>
            <w:r>
              <w:rPr>
                <w:noProof/>
                <w:webHidden/>
              </w:rPr>
            </w:r>
            <w:r>
              <w:rPr>
                <w:noProof/>
                <w:webHidden/>
              </w:rPr>
              <w:fldChar w:fldCharType="separate"/>
            </w:r>
            <w:r>
              <w:rPr>
                <w:noProof/>
                <w:webHidden/>
              </w:rPr>
              <w:t>6</w:t>
            </w:r>
            <w:r>
              <w:rPr>
                <w:noProof/>
                <w:webHidden/>
              </w:rPr>
              <w:fldChar w:fldCharType="end"/>
            </w:r>
          </w:hyperlink>
        </w:p>
        <w:p w14:paraId="6CCDDF42" w14:textId="326B835D" w:rsidR="00C10336" w:rsidRDefault="00C10336">
          <w:pPr>
            <w:pStyle w:val="TOC1"/>
            <w:tabs>
              <w:tab w:val="left" w:pos="480"/>
              <w:tab w:val="right" w:leader="dot" w:pos="8296"/>
            </w:tabs>
            <w:rPr>
              <w:rFonts w:asciiTheme="minorHAnsi" w:eastAsiaTheme="minorEastAsia" w:hAnsiTheme="minorHAnsi"/>
              <w:noProof/>
              <w:szCs w:val="24"/>
              <w:lang w:eastAsia="lv-LV"/>
            </w:rPr>
          </w:pPr>
          <w:hyperlink w:anchor="_Toc215730731" w:history="1">
            <w:r w:rsidRPr="000346A5">
              <w:rPr>
                <w:rStyle w:val="Hyperlink"/>
                <w:rFonts w:cs="Times New Roman"/>
                <w:b/>
                <w:bCs/>
                <w:noProof/>
              </w:rPr>
              <w:t>5.</w:t>
            </w:r>
            <w:r>
              <w:rPr>
                <w:rFonts w:asciiTheme="minorHAnsi" w:eastAsiaTheme="minorEastAsia" w:hAnsiTheme="minorHAnsi"/>
                <w:noProof/>
                <w:szCs w:val="24"/>
                <w:lang w:eastAsia="lv-LV"/>
              </w:rPr>
              <w:tab/>
            </w:r>
            <w:r w:rsidRPr="000346A5">
              <w:rPr>
                <w:rStyle w:val="Hyperlink"/>
                <w:rFonts w:cs="Times New Roman"/>
                <w:b/>
                <w:bCs/>
                <w:noProof/>
              </w:rPr>
              <w:t>Izmantojamais radiofrekvenču spektrs</w:t>
            </w:r>
            <w:r>
              <w:rPr>
                <w:noProof/>
                <w:webHidden/>
              </w:rPr>
              <w:tab/>
            </w:r>
            <w:r>
              <w:rPr>
                <w:noProof/>
                <w:webHidden/>
              </w:rPr>
              <w:fldChar w:fldCharType="begin"/>
            </w:r>
            <w:r>
              <w:rPr>
                <w:noProof/>
                <w:webHidden/>
              </w:rPr>
              <w:instrText xml:space="preserve"> PAGEREF _Toc215730731 \h </w:instrText>
            </w:r>
            <w:r>
              <w:rPr>
                <w:noProof/>
                <w:webHidden/>
              </w:rPr>
            </w:r>
            <w:r>
              <w:rPr>
                <w:noProof/>
                <w:webHidden/>
              </w:rPr>
              <w:fldChar w:fldCharType="separate"/>
            </w:r>
            <w:r>
              <w:rPr>
                <w:noProof/>
                <w:webHidden/>
              </w:rPr>
              <w:t>7</w:t>
            </w:r>
            <w:r>
              <w:rPr>
                <w:noProof/>
                <w:webHidden/>
              </w:rPr>
              <w:fldChar w:fldCharType="end"/>
            </w:r>
          </w:hyperlink>
        </w:p>
        <w:p w14:paraId="30FAC982" w14:textId="1CB4DB64" w:rsidR="00C10336" w:rsidRDefault="00C10336">
          <w:pPr>
            <w:pStyle w:val="TOC1"/>
            <w:tabs>
              <w:tab w:val="left" w:pos="480"/>
              <w:tab w:val="right" w:leader="dot" w:pos="8296"/>
            </w:tabs>
            <w:rPr>
              <w:rFonts w:asciiTheme="minorHAnsi" w:eastAsiaTheme="minorEastAsia" w:hAnsiTheme="minorHAnsi"/>
              <w:noProof/>
              <w:szCs w:val="24"/>
              <w:lang w:eastAsia="lv-LV"/>
            </w:rPr>
          </w:pPr>
          <w:hyperlink w:anchor="_Toc215730732" w:history="1">
            <w:r w:rsidRPr="000346A5">
              <w:rPr>
                <w:rStyle w:val="Hyperlink"/>
                <w:rFonts w:cs="Times New Roman"/>
                <w:b/>
                <w:bCs/>
                <w:noProof/>
              </w:rPr>
              <w:t>6.</w:t>
            </w:r>
            <w:r>
              <w:rPr>
                <w:rFonts w:asciiTheme="minorHAnsi" w:eastAsiaTheme="minorEastAsia" w:hAnsiTheme="minorHAnsi"/>
                <w:noProof/>
                <w:szCs w:val="24"/>
                <w:lang w:eastAsia="lv-LV"/>
              </w:rPr>
              <w:tab/>
            </w:r>
            <w:r w:rsidRPr="000346A5">
              <w:rPr>
                <w:rStyle w:val="Hyperlink"/>
                <w:rFonts w:cs="Times New Roman"/>
                <w:b/>
                <w:bCs/>
                <w:noProof/>
              </w:rPr>
              <w:t>Drošības prasības</w:t>
            </w:r>
            <w:r>
              <w:rPr>
                <w:noProof/>
                <w:webHidden/>
              </w:rPr>
              <w:tab/>
            </w:r>
            <w:r>
              <w:rPr>
                <w:noProof/>
                <w:webHidden/>
              </w:rPr>
              <w:fldChar w:fldCharType="begin"/>
            </w:r>
            <w:r>
              <w:rPr>
                <w:noProof/>
                <w:webHidden/>
              </w:rPr>
              <w:instrText xml:space="preserve"> PAGEREF _Toc215730732 \h </w:instrText>
            </w:r>
            <w:r>
              <w:rPr>
                <w:noProof/>
                <w:webHidden/>
              </w:rPr>
            </w:r>
            <w:r>
              <w:rPr>
                <w:noProof/>
                <w:webHidden/>
              </w:rPr>
              <w:fldChar w:fldCharType="separate"/>
            </w:r>
            <w:r>
              <w:rPr>
                <w:noProof/>
                <w:webHidden/>
              </w:rPr>
              <w:t>8</w:t>
            </w:r>
            <w:r>
              <w:rPr>
                <w:noProof/>
                <w:webHidden/>
              </w:rPr>
              <w:fldChar w:fldCharType="end"/>
            </w:r>
          </w:hyperlink>
        </w:p>
        <w:p w14:paraId="201154AC" w14:textId="07DFD41C" w:rsidR="00C10336" w:rsidRDefault="00C10336">
          <w:pPr>
            <w:pStyle w:val="TOC1"/>
            <w:tabs>
              <w:tab w:val="left" w:pos="480"/>
              <w:tab w:val="right" w:leader="dot" w:pos="8296"/>
            </w:tabs>
            <w:rPr>
              <w:rFonts w:asciiTheme="minorHAnsi" w:eastAsiaTheme="minorEastAsia" w:hAnsiTheme="minorHAnsi"/>
              <w:noProof/>
              <w:szCs w:val="24"/>
              <w:lang w:eastAsia="lv-LV"/>
            </w:rPr>
          </w:pPr>
          <w:hyperlink w:anchor="_Toc215730733" w:history="1">
            <w:r w:rsidRPr="000346A5">
              <w:rPr>
                <w:rStyle w:val="Hyperlink"/>
                <w:rFonts w:cs="Times New Roman"/>
                <w:b/>
                <w:bCs/>
                <w:noProof/>
              </w:rPr>
              <w:t>7.</w:t>
            </w:r>
            <w:r>
              <w:rPr>
                <w:rFonts w:asciiTheme="minorHAnsi" w:eastAsiaTheme="minorEastAsia" w:hAnsiTheme="minorHAnsi"/>
                <w:noProof/>
                <w:szCs w:val="24"/>
                <w:lang w:eastAsia="lv-LV"/>
              </w:rPr>
              <w:tab/>
            </w:r>
            <w:r w:rsidRPr="000346A5">
              <w:rPr>
                <w:rStyle w:val="Hyperlink"/>
                <w:rFonts w:cs="Times New Roman"/>
                <w:b/>
                <w:bCs/>
                <w:noProof/>
              </w:rPr>
              <w:t>Pieejamība</w:t>
            </w:r>
            <w:r>
              <w:rPr>
                <w:noProof/>
                <w:webHidden/>
              </w:rPr>
              <w:tab/>
            </w:r>
            <w:r>
              <w:rPr>
                <w:noProof/>
                <w:webHidden/>
              </w:rPr>
              <w:fldChar w:fldCharType="begin"/>
            </w:r>
            <w:r>
              <w:rPr>
                <w:noProof/>
                <w:webHidden/>
              </w:rPr>
              <w:instrText xml:space="preserve"> PAGEREF _Toc215730733 \h </w:instrText>
            </w:r>
            <w:r>
              <w:rPr>
                <w:noProof/>
                <w:webHidden/>
              </w:rPr>
            </w:r>
            <w:r>
              <w:rPr>
                <w:noProof/>
                <w:webHidden/>
              </w:rPr>
              <w:fldChar w:fldCharType="separate"/>
            </w:r>
            <w:r>
              <w:rPr>
                <w:noProof/>
                <w:webHidden/>
              </w:rPr>
              <w:t>8</w:t>
            </w:r>
            <w:r>
              <w:rPr>
                <w:noProof/>
                <w:webHidden/>
              </w:rPr>
              <w:fldChar w:fldCharType="end"/>
            </w:r>
          </w:hyperlink>
        </w:p>
        <w:p w14:paraId="53EA1928" w14:textId="0EE9BB90" w:rsidR="00C10336" w:rsidRDefault="00C10336">
          <w:pPr>
            <w:pStyle w:val="TOC1"/>
            <w:tabs>
              <w:tab w:val="left" w:pos="480"/>
              <w:tab w:val="right" w:leader="dot" w:pos="8296"/>
            </w:tabs>
            <w:rPr>
              <w:rFonts w:asciiTheme="minorHAnsi" w:eastAsiaTheme="minorEastAsia" w:hAnsiTheme="minorHAnsi"/>
              <w:noProof/>
              <w:szCs w:val="24"/>
              <w:lang w:eastAsia="lv-LV"/>
            </w:rPr>
          </w:pPr>
          <w:hyperlink w:anchor="_Toc215730734" w:history="1">
            <w:r w:rsidRPr="000346A5">
              <w:rPr>
                <w:rStyle w:val="Hyperlink"/>
                <w:rFonts w:cs="Times New Roman"/>
                <w:b/>
                <w:bCs/>
                <w:noProof/>
              </w:rPr>
              <w:t>8.</w:t>
            </w:r>
            <w:r>
              <w:rPr>
                <w:rFonts w:asciiTheme="minorHAnsi" w:eastAsiaTheme="minorEastAsia" w:hAnsiTheme="minorHAnsi"/>
                <w:noProof/>
                <w:szCs w:val="24"/>
                <w:lang w:eastAsia="lv-LV"/>
              </w:rPr>
              <w:tab/>
            </w:r>
            <w:r w:rsidRPr="000346A5">
              <w:rPr>
                <w:rStyle w:val="Hyperlink"/>
                <w:rFonts w:cs="Times New Roman"/>
                <w:b/>
                <w:bCs/>
                <w:noProof/>
              </w:rPr>
              <w:t>Sadarbība ar infrastruktūras izvietošanai nepieciešamā nekustamā īpašuma īpašniekiem</w:t>
            </w:r>
            <w:r>
              <w:rPr>
                <w:noProof/>
                <w:webHidden/>
              </w:rPr>
              <w:tab/>
            </w:r>
            <w:r>
              <w:rPr>
                <w:noProof/>
                <w:webHidden/>
              </w:rPr>
              <w:fldChar w:fldCharType="begin"/>
            </w:r>
            <w:r>
              <w:rPr>
                <w:noProof/>
                <w:webHidden/>
              </w:rPr>
              <w:instrText xml:space="preserve"> PAGEREF _Toc215730734 \h </w:instrText>
            </w:r>
            <w:r>
              <w:rPr>
                <w:noProof/>
                <w:webHidden/>
              </w:rPr>
            </w:r>
            <w:r>
              <w:rPr>
                <w:noProof/>
                <w:webHidden/>
              </w:rPr>
              <w:fldChar w:fldCharType="separate"/>
            </w:r>
            <w:r>
              <w:rPr>
                <w:noProof/>
                <w:webHidden/>
              </w:rPr>
              <w:t>8</w:t>
            </w:r>
            <w:r>
              <w:rPr>
                <w:noProof/>
                <w:webHidden/>
              </w:rPr>
              <w:fldChar w:fldCharType="end"/>
            </w:r>
          </w:hyperlink>
        </w:p>
        <w:p w14:paraId="56D40918" w14:textId="57F7E6D4" w:rsidR="00C10336" w:rsidRDefault="00C10336">
          <w:pPr>
            <w:pStyle w:val="TOC2"/>
            <w:tabs>
              <w:tab w:val="left" w:pos="960"/>
              <w:tab w:val="right" w:leader="dot" w:pos="8296"/>
            </w:tabs>
            <w:rPr>
              <w:rFonts w:asciiTheme="minorHAnsi" w:eastAsiaTheme="minorEastAsia" w:hAnsiTheme="minorHAnsi"/>
              <w:noProof/>
              <w:szCs w:val="24"/>
              <w:lang w:eastAsia="lv-LV"/>
            </w:rPr>
          </w:pPr>
          <w:hyperlink w:anchor="_Toc215730735" w:history="1">
            <w:r w:rsidRPr="000346A5">
              <w:rPr>
                <w:rStyle w:val="Hyperlink"/>
                <w:rFonts w:cs="Times New Roman"/>
                <w:b/>
                <w:bCs/>
                <w:noProof/>
              </w:rPr>
              <w:t>8.1.</w:t>
            </w:r>
            <w:r>
              <w:rPr>
                <w:rFonts w:asciiTheme="minorHAnsi" w:eastAsiaTheme="minorEastAsia" w:hAnsiTheme="minorHAnsi"/>
                <w:noProof/>
                <w:szCs w:val="24"/>
                <w:lang w:eastAsia="lv-LV"/>
              </w:rPr>
              <w:tab/>
            </w:r>
            <w:r w:rsidRPr="000346A5">
              <w:rPr>
                <w:rStyle w:val="Hyperlink"/>
                <w:rFonts w:cs="Times New Roman"/>
                <w:b/>
                <w:bCs/>
                <w:noProof/>
              </w:rPr>
              <w:t>Esošā situācija, problemātika un ieteikumi</w:t>
            </w:r>
            <w:r>
              <w:rPr>
                <w:noProof/>
                <w:webHidden/>
              </w:rPr>
              <w:tab/>
            </w:r>
            <w:r>
              <w:rPr>
                <w:noProof/>
                <w:webHidden/>
              </w:rPr>
              <w:fldChar w:fldCharType="begin"/>
            </w:r>
            <w:r>
              <w:rPr>
                <w:noProof/>
                <w:webHidden/>
              </w:rPr>
              <w:instrText xml:space="preserve"> PAGEREF _Toc215730735 \h </w:instrText>
            </w:r>
            <w:r>
              <w:rPr>
                <w:noProof/>
                <w:webHidden/>
              </w:rPr>
            </w:r>
            <w:r>
              <w:rPr>
                <w:noProof/>
                <w:webHidden/>
              </w:rPr>
              <w:fldChar w:fldCharType="separate"/>
            </w:r>
            <w:r>
              <w:rPr>
                <w:noProof/>
                <w:webHidden/>
              </w:rPr>
              <w:t>9</w:t>
            </w:r>
            <w:r>
              <w:rPr>
                <w:noProof/>
                <w:webHidden/>
              </w:rPr>
              <w:fldChar w:fldCharType="end"/>
            </w:r>
          </w:hyperlink>
        </w:p>
        <w:p w14:paraId="1F6DB756" w14:textId="4B4593D9" w:rsidR="00C10336" w:rsidRDefault="00C10336">
          <w:pPr>
            <w:pStyle w:val="TOC2"/>
            <w:tabs>
              <w:tab w:val="left" w:pos="960"/>
              <w:tab w:val="right" w:leader="dot" w:pos="8296"/>
            </w:tabs>
            <w:rPr>
              <w:rFonts w:asciiTheme="minorHAnsi" w:eastAsiaTheme="minorEastAsia" w:hAnsiTheme="minorHAnsi"/>
              <w:noProof/>
              <w:szCs w:val="24"/>
              <w:lang w:eastAsia="lv-LV"/>
            </w:rPr>
          </w:pPr>
          <w:hyperlink w:anchor="_Toc215730736" w:history="1">
            <w:r w:rsidRPr="000346A5">
              <w:rPr>
                <w:rStyle w:val="Hyperlink"/>
                <w:rFonts w:eastAsia="Aptos" w:cs="Times New Roman"/>
                <w:b/>
                <w:bCs/>
                <w:noProof/>
              </w:rPr>
              <w:t>8.2.</w:t>
            </w:r>
            <w:r>
              <w:rPr>
                <w:rFonts w:asciiTheme="minorHAnsi" w:eastAsiaTheme="minorEastAsia" w:hAnsiTheme="minorHAnsi"/>
                <w:noProof/>
                <w:szCs w:val="24"/>
                <w:lang w:eastAsia="lv-LV"/>
              </w:rPr>
              <w:tab/>
            </w:r>
            <w:r w:rsidRPr="000346A5">
              <w:rPr>
                <w:rStyle w:val="Hyperlink"/>
                <w:rFonts w:cs="Times New Roman"/>
                <w:b/>
                <w:bCs/>
                <w:noProof/>
              </w:rPr>
              <w:t>Sadarbības veidi ar nekustamā īpašuma īpašnieku vai pārvaldītāju</w:t>
            </w:r>
            <w:r>
              <w:rPr>
                <w:noProof/>
                <w:webHidden/>
              </w:rPr>
              <w:tab/>
            </w:r>
            <w:r>
              <w:rPr>
                <w:noProof/>
                <w:webHidden/>
              </w:rPr>
              <w:fldChar w:fldCharType="begin"/>
            </w:r>
            <w:r>
              <w:rPr>
                <w:noProof/>
                <w:webHidden/>
              </w:rPr>
              <w:instrText xml:space="preserve"> PAGEREF _Toc215730736 \h </w:instrText>
            </w:r>
            <w:r>
              <w:rPr>
                <w:noProof/>
                <w:webHidden/>
              </w:rPr>
            </w:r>
            <w:r>
              <w:rPr>
                <w:noProof/>
                <w:webHidden/>
              </w:rPr>
              <w:fldChar w:fldCharType="separate"/>
            </w:r>
            <w:r>
              <w:rPr>
                <w:noProof/>
                <w:webHidden/>
              </w:rPr>
              <w:t>10</w:t>
            </w:r>
            <w:r>
              <w:rPr>
                <w:noProof/>
                <w:webHidden/>
              </w:rPr>
              <w:fldChar w:fldCharType="end"/>
            </w:r>
          </w:hyperlink>
        </w:p>
        <w:p w14:paraId="4F1F1B02" w14:textId="5DD0C5B8" w:rsidR="00C10336" w:rsidRDefault="00C10336">
          <w:pPr>
            <w:pStyle w:val="TOC1"/>
            <w:tabs>
              <w:tab w:val="left" w:pos="480"/>
              <w:tab w:val="right" w:leader="dot" w:pos="8296"/>
            </w:tabs>
            <w:rPr>
              <w:rFonts w:asciiTheme="minorHAnsi" w:eastAsiaTheme="minorEastAsia" w:hAnsiTheme="minorHAnsi"/>
              <w:noProof/>
              <w:szCs w:val="24"/>
              <w:lang w:eastAsia="lv-LV"/>
            </w:rPr>
          </w:pPr>
          <w:hyperlink w:anchor="_Toc215730737" w:history="1">
            <w:r w:rsidRPr="000346A5">
              <w:rPr>
                <w:rStyle w:val="Hyperlink"/>
                <w:rFonts w:cs="Times New Roman"/>
                <w:b/>
                <w:bCs/>
                <w:noProof/>
              </w:rPr>
              <w:t>9.</w:t>
            </w:r>
            <w:r>
              <w:rPr>
                <w:rFonts w:asciiTheme="minorHAnsi" w:eastAsiaTheme="minorEastAsia" w:hAnsiTheme="minorHAnsi"/>
                <w:noProof/>
                <w:szCs w:val="24"/>
                <w:lang w:eastAsia="lv-LV"/>
              </w:rPr>
              <w:tab/>
            </w:r>
            <w:r w:rsidRPr="000346A5">
              <w:rPr>
                <w:rStyle w:val="Hyperlink"/>
                <w:rFonts w:cs="Times New Roman"/>
                <w:b/>
                <w:bCs/>
                <w:noProof/>
              </w:rPr>
              <w:t>Vispārējie mobilo sakaru infrastruktūras izvietošanas principi</w:t>
            </w:r>
            <w:r>
              <w:rPr>
                <w:noProof/>
                <w:webHidden/>
              </w:rPr>
              <w:tab/>
            </w:r>
            <w:r>
              <w:rPr>
                <w:noProof/>
                <w:webHidden/>
              </w:rPr>
              <w:fldChar w:fldCharType="begin"/>
            </w:r>
            <w:r>
              <w:rPr>
                <w:noProof/>
                <w:webHidden/>
              </w:rPr>
              <w:instrText xml:space="preserve"> PAGEREF _Toc215730737 \h </w:instrText>
            </w:r>
            <w:r>
              <w:rPr>
                <w:noProof/>
                <w:webHidden/>
              </w:rPr>
            </w:r>
            <w:r>
              <w:rPr>
                <w:noProof/>
                <w:webHidden/>
              </w:rPr>
              <w:fldChar w:fldCharType="separate"/>
            </w:r>
            <w:r>
              <w:rPr>
                <w:noProof/>
                <w:webHidden/>
              </w:rPr>
              <w:t>12</w:t>
            </w:r>
            <w:r>
              <w:rPr>
                <w:noProof/>
                <w:webHidden/>
              </w:rPr>
              <w:fldChar w:fldCharType="end"/>
            </w:r>
          </w:hyperlink>
        </w:p>
        <w:p w14:paraId="775C017A" w14:textId="416A4F85" w:rsidR="00C10336" w:rsidRDefault="00C10336">
          <w:pPr>
            <w:pStyle w:val="TOC2"/>
            <w:tabs>
              <w:tab w:val="left" w:pos="960"/>
              <w:tab w:val="right" w:leader="dot" w:pos="8296"/>
            </w:tabs>
            <w:rPr>
              <w:rFonts w:asciiTheme="minorHAnsi" w:eastAsiaTheme="minorEastAsia" w:hAnsiTheme="minorHAnsi"/>
              <w:noProof/>
              <w:szCs w:val="24"/>
              <w:lang w:eastAsia="lv-LV"/>
            </w:rPr>
          </w:pPr>
          <w:hyperlink w:anchor="_Toc215730738" w:history="1">
            <w:r w:rsidRPr="000346A5">
              <w:rPr>
                <w:rStyle w:val="Hyperlink"/>
                <w:rFonts w:cs="Times New Roman"/>
                <w:b/>
                <w:bCs/>
                <w:noProof/>
              </w:rPr>
              <w:t>9.1.</w:t>
            </w:r>
            <w:r>
              <w:rPr>
                <w:rFonts w:asciiTheme="minorHAnsi" w:eastAsiaTheme="minorEastAsia" w:hAnsiTheme="minorHAnsi"/>
                <w:noProof/>
                <w:szCs w:val="24"/>
                <w:lang w:eastAsia="lv-LV"/>
              </w:rPr>
              <w:tab/>
            </w:r>
            <w:r w:rsidRPr="000346A5">
              <w:rPr>
                <w:rStyle w:val="Hyperlink"/>
                <w:rFonts w:cs="Times New Roman"/>
                <w:b/>
                <w:bCs/>
                <w:noProof/>
              </w:rPr>
              <w:t>Esošā situācija un problemātika</w:t>
            </w:r>
            <w:r>
              <w:rPr>
                <w:noProof/>
                <w:webHidden/>
              </w:rPr>
              <w:tab/>
            </w:r>
            <w:r>
              <w:rPr>
                <w:noProof/>
                <w:webHidden/>
              </w:rPr>
              <w:fldChar w:fldCharType="begin"/>
            </w:r>
            <w:r>
              <w:rPr>
                <w:noProof/>
                <w:webHidden/>
              </w:rPr>
              <w:instrText xml:space="preserve"> PAGEREF _Toc215730738 \h </w:instrText>
            </w:r>
            <w:r>
              <w:rPr>
                <w:noProof/>
                <w:webHidden/>
              </w:rPr>
            </w:r>
            <w:r>
              <w:rPr>
                <w:noProof/>
                <w:webHidden/>
              </w:rPr>
              <w:fldChar w:fldCharType="separate"/>
            </w:r>
            <w:r>
              <w:rPr>
                <w:noProof/>
                <w:webHidden/>
              </w:rPr>
              <w:t>13</w:t>
            </w:r>
            <w:r>
              <w:rPr>
                <w:noProof/>
                <w:webHidden/>
              </w:rPr>
              <w:fldChar w:fldCharType="end"/>
            </w:r>
          </w:hyperlink>
        </w:p>
        <w:p w14:paraId="1FB198CA" w14:textId="1A79E19B" w:rsidR="00C10336" w:rsidRDefault="00C10336">
          <w:pPr>
            <w:pStyle w:val="TOC2"/>
            <w:tabs>
              <w:tab w:val="left" w:pos="960"/>
              <w:tab w:val="right" w:leader="dot" w:pos="8296"/>
            </w:tabs>
            <w:rPr>
              <w:rFonts w:asciiTheme="minorHAnsi" w:eastAsiaTheme="minorEastAsia" w:hAnsiTheme="minorHAnsi"/>
              <w:noProof/>
              <w:szCs w:val="24"/>
              <w:lang w:eastAsia="lv-LV"/>
            </w:rPr>
          </w:pPr>
          <w:hyperlink w:anchor="_Toc215730739" w:history="1">
            <w:r w:rsidRPr="000346A5">
              <w:rPr>
                <w:rStyle w:val="Hyperlink"/>
                <w:rFonts w:cs="Times New Roman"/>
                <w:b/>
                <w:bCs/>
                <w:noProof/>
              </w:rPr>
              <w:t>9.2.</w:t>
            </w:r>
            <w:r>
              <w:rPr>
                <w:rFonts w:asciiTheme="minorHAnsi" w:eastAsiaTheme="minorEastAsia" w:hAnsiTheme="minorHAnsi"/>
                <w:noProof/>
                <w:szCs w:val="24"/>
                <w:lang w:eastAsia="lv-LV"/>
              </w:rPr>
              <w:tab/>
            </w:r>
            <w:r w:rsidRPr="000346A5">
              <w:rPr>
                <w:rStyle w:val="Hyperlink"/>
                <w:rFonts w:cs="Times New Roman"/>
                <w:b/>
                <w:bCs/>
                <w:noProof/>
              </w:rPr>
              <w:t>Iestāžu un sabiedrības iesaiste platjoslas elektronisko sakaru tīklu izvēršanā</w:t>
            </w:r>
            <w:r>
              <w:rPr>
                <w:noProof/>
                <w:webHidden/>
              </w:rPr>
              <w:tab/>
            </w:r>
            <w:r>
              <w:rPr>
                <w:noProof/>
                <w:webHidden/>
              </w:rPr>
              <w:fldChar w:fldCharType="begin"/>
            </w:r>
            <w:r>
              <w:rPr>
                <w:noProof/>
                <w:webHidden/>
              </w:rPr>
              <w:instrText xml:space="preserve"> PAGEREF _Toc215730739 \h </w:instrText>
            </w:r>
            <w:r>
              <w:rPr>
                <w:noProof/>
                <w:webHidden/>
              </w:rPr>
            </w:r>
            <w:r>
              <w:rPr>
                <w:noProof/>
                <w:webHidden/>
              </w:rPr>
              <w:fldChar w:fldCharType="separate"/>
            </w:r>
            <w:r>
              <w:rPr>
                <w:noProof/>
                <w:webHidden/>
              </w:rPr>
              <w:t>14</w:t>
            </w:r>
            <w:r>
              <w:rPr>
                <w:noProof/>
                <w:webHidden/>
              </w:rPr>
              <w:fldChar w:fldCharType="end"/>
            </w:r>
          </w:hyperlink>
        </w:p>
        <w:p w14:paraId="7B3F2D69" w14:textId="73708D71" w:rsidR="00C10336" w:rsidRDefault="00C10336">
          <w:pPr>
            <w:pStyle w:val="TOC3"/>
            <w:tabs>
              <w:tab w:val="left" w:pos="1440"/>
              <w:tab w:val="right" w:leader="dot" w:pos="8296"/>
            </w:tabs>
            <w:rPr>
              <w:rFonts w:asciiTheme="minorHAnsi" w:eastAsiaTheme="minorEastAsia" w:hAnsiTheme="minorHAnsi"/>
              <w:noProof/>
              <w:szCs w:val="24"/>
              <w:lang w:eastAsia="lv-LV"/>
            </w:rPr>
          </w:pPr>
          <w:hyperlink w:anchor="_Toc215730740" w:history="1">
            <w:r w:rsidRPr="000346A5">
              <w:rPr>
                <w:rStyle w:val="Hyperlink"/>
                <w:rFonts w:cs="Times New Roman"/>
                <w:b/>
                <w:bCs/>
                <w:noProof/>
              </w:rPr>
              <w:t>9.2.1.</w:t>
            </w:r>
            <w:r>
              <w:rPr>
                <w:rFonts w:asciiTheme="minorHAnsi" w:eastAsiaTheme="minorEastAsia" w:hAnsiTheme="minorHAnsi"/>
                <w:noProof/>
                <w:szCs w:val="24"/>
                <w:lang w:eastAsia="lv-LV"/>
              </w:rPr>
              <w:tab/>
            </w:r>
            <w:r w:rsidRPr="000346A5">
              <w:rPr>
                <w:rStyle w:val="Hyperlink"/>
                <w:rFonts w:cs="Times New Roman"/>
                <w:b/>
                <w:bCs/>
                <w:noProof/>
              </w:rPr>
              <w:t>Pašvaldības iesaiste mobilo sakaru infrastruktūras izvietošanai nepieciešamās vietas pieejamības nodrošināšanā</w:t>
            </w:r>
            <w:r>
              <w:rPr>
                <w:noProof/>
                <w:webHidden/>
              </w:rPr>
              <w:tab/>
            </w:r>
            <w:r>
              <w:rPr>
                <w:noProof/>
                <w:webHidden/>
              </w:rPr>
              <w:fldChar w:fldCharType="begin"/>
            </w:r>
            <w:r>
              <w:rPr>
                <w:noProof/>
                <w:webHidden/>
              </w:rPr>
              <w:instrText xml:space="preserve"> PAGEREF _Toc215730740 \h </w:instrText>
            </w:r>
            <w:r>
              <w:rPr>
                <w:noProof/>
                <w:webHidden/>
              </w:rPr>
            </w:r>
            <w:r>
              <w:rPr>
                <w:noProof/>
                <w:webHidden/>
              </w:rPr>
              <w:fldChar w:fldCharType="separate"/>
            </w:r>
            <w:r>
              <w:rPr>
                <w:noProof/>
                <w:webHidden/>
              </w:rPr>
              <w:t>14</w:t>
            </w:r>
            <w:r>
              <w:rPr>
                <w:noProof/>
                <w:webHidden/>
              </w:rPr>
              <w:fldChar w:fldCharType="end"/>
            </w:r>
          </w:hyperlink>
        </w:p>
        <w:p w14:paraId="41BDFF8B" w14:textId="5532D3FF" w:rsidR="00C10336" w:rsidRDefault="00C10336">
          <w:pPr>
            <w:pStyle w:val="TOC3"/>
            <w:tabs>
              <w:tab w:val="left" w:pos="1440"/>
              <w:tab w:val="right" w:leader="dot" w:pos="8296"/>
            </w:tabs>
            <w:rPr>
              <w:rFonts w:asciiTheme="minorHAnsi" w:eastAsiaTheme="minorEastAsia" w:hAnsiTheme="minorHAnsi"/>
              <w:noProof/>
              <w:szCs w:val="24"/>
              <w:lang w:eastAsia="lv-LV"/>
            </w:rPr>
          </w:pPr>
          <w:hyperlink w:anchor="_Toc215730741" w:history="1">
            <w:r w:rsidRPr="000346A5">
              <w:rPr>
                <w:rStyle w:val="Hyperlink"/>
                <w:rFonts w:eastAsia="Times New Roman" w:cs="Times New Roman"/>
                <w:b/>
                <w:bCs/>
                <w:noProof/>
              </w:rPr>
              <w:t>9.2.2.</w:t>
            </w:r>
            <w:r>
              <w:rPr>
                <w:rFonts w:asciiTheme="minorHAnsi" w:eastAsiaTheme="minorEastAsia" w:hAnsiTheme="minorHAnsi"/>
                <w:noProof/>
                <w:szCs w:val="24"/>
                <w:lang w:eastAsia="lv-LV"/>
              </w:rPr>
              <w:tab/>
            </w:r>
            <w:r w:rsidRPr="000346A5">
              <w:rPr>
                <w:rStyle w:val="Hyperlink"/>
                <w:rFonts w:cs="Times New Roman"/>
                <w:b/>
                <w:bCs/>
                <w:noProof/>
              </w:rPr>
              <w:t>Platjoslas elektronisko sakaru tīklu infrastruktūras paredzēšana pašvaldību teritorijās</w:t>
            </w:r>
            <w:r>
              <w:rPr>
                <w:noProof/>
                <w:webHidden/>
              </w:rPr>
              <w:tab/>
            </w:r>
            <w:r>
              <w:rPr>
                <w:noProof/>
                <w:webHidden/>
              </w:rPr>
              <w:fldChar w:fldCharType="begin"/>
            </w:r>
            <w:r>
              <w:rPr>
                <w:noProof/>
                <w:webHidden/>
              </w:rPr>
              <w:instrText xml:space="preserve"> PAGEREF _Toc215730741 \h </w:instrText>
            </w:r>
            <w:r>
              <w:rPr>
                <w:noProof/>
                <w:webHidden/>
              </w:rPr>
            </w:r>
            <w:r>
              <w:rPr>
                <w:noProof/>
                <w:webHidden/>
              </w:rPr>
              <w:fldChar w:fldCharType="separate"/>
            </w:r>
            <w:r>
              <w:rPr>
                <w:noProof/>
                <w:webHidden/>
              </w:rPr>
              <w:t>14</w:t>
            </w:r>
            <w:r>
              <w:rPr>
                <w:noProof/>
                <w:webHidden/>
              </w:rPr>
              <w:fldChar w:fldCharType="end"/>
            </w:r>
          </w:hyperlink>
        </w:p>
        <w:p w14:paraId="31014EA4" w14:textId="6AE55C08" w:rsidR="00C10336" w:rsidRDefault="00C10336">
          <w:pPr>
            <w:pStyle w:val="TOC2"/>
            <w:tabs>
              <w:tab w:val="left" w:pos="960"/>
              <w:tab w:val="right" w:leader="dot" w:pos="8296"/>
            </w:tabs>
            <w:rPr>
              <w:rFonts w:asciiTheme="minorHAnsi" w:eastAsiaTheme="minorEastAsia" w:hAnsiTheme="minorHAnsi"/>
              <w:noProof/>
              <w:szCs w:val="24"/>
              <w:lang w:eastAsia="lv-LV"/>
            </w:rPr>
          </w:pPr>
          <w:hyperlink w:anchor="_Toc215730742" w:history="1">
            <w:r w:rsidRPr="000346A5">
              <w:rPr>
                <w:rStyle w:val="Hyperlink"/>
                <w:rFonts w:cs="Times New Roman"/>
                <w:b/>
                <w:bCs/>
                <w:noProof/>
              </w:rPr>
              <w:t>9.3.</w:t>
            </w:r>
            <w:r>
              <w:rPr>
                <w:rFonts w:asciiTheme="minorHAnsi" w:eastAsiaTheme="minorEastAsia" w:hAnsiTheme="minorHAnsi"/>
                <w:noProof/>
                <w:szCs w:val="24"/>
                <w:lang w:eastAsia="lv-LV"/>
              </w:rPr>
              <w:tab/>
            </w:r>
            <w:r w:rsidRPr="000346A5">
              <w:rPr>
                <w:rStyle w:val="Hyperlink"/>
                <w:rFonts w:cs="Times New Roman"/>
                <w:b/>
                <w:bCs/>
                <w:noProof/>
              </w:rPr>
              <w:t>Nepamatotu administratīvo šķēršļu novēršana platjoslas infrastruktūras attīstībai</w:t>
            </w:r>
            <w:r>
              <w:rPr>
                <w:noProof/>
                <w:webHidden/>
              </w:rPr>
              <w:tab/>
            </w:r>
            <w:r>
              <w:rPr>
                <w:noProof/>
                <w:webHidden/>
              </w:rPr>
              <w:fldChar w:fldCharType="begin"/>
            </w:r>
            <w:r>
              <w:rPr>
                <w:noProof/>
                <w:webHidden/>
              </w:rPr>
              <w:instrText xml:space="preserve"> PAGEREF _Toc215730742 \h </w:instrText>
            </w:r>
            <w:r>
              <w:rPr>
                <w:noProof/>
                <w:webHidden/>
              </w:rPr>
            </w:r>
            <w:r>
              <w:rPr>
                <w:noProof/>
                <w:webHidden/>
              </w:rPr>
              <w:fldChar w:fldCharType="separate"/>
            </w:r>
            <w:r>
              <w:rPr>
                <w:noProof/>
                <w:webHidden/>
              </w:rPr>
              <w:t>16</w:t>
            </w:r>
            <w:r>
              <w:rPr>
                <w:noProof/>
                <w:webHidden/>
              </w:rPr>
              <w:fldChar w:fldCharType="end"/>
            </w:r>
          </w:hyperlink>
        </w:p>
        <w:p w14:paraId="1A32A693" w14:textId="6D859844" w:rsidR="00C10336" w:rsidRDefault="00C10336">
          <w:pPr>
            <w:pStyle w:val="TOC2"/>
            <w:tabs>
              <w:tab w:val="left" w:pos="960"/>
              <w:tab w:val="right" w:leader="dot" w:pos="8296"/>
            </w:tabs>
            <w:rPr>
              <w:rFonts w:asciiTheme="minorHAnsi" w:eastAsiaTheme="minorEastAsia" w:hAnsiTheme="minorHAnsi"/>
              <w:noProof/>
              <w:szCs w:val="24"/>
              <w:lang w:eastAsia="lv-LV"/>
            </w:rPr>
          </w:pPr>
          <w:hyperlink w:anchor="_Toc215730743" w:history="1">
            <w:r w:rsidRPr="000346A5">
              <w:rPr>
                <w:rStyle w:val="Hyperlink"/>
                <w:rFonts w:cs="Times New Roman"/>
                <w:b/>
                <w:bCs/>
                <w:noProof/>
              </w:rPr>
              <w:t>9.4.</w:t>
            </w:r>
            <w:r>
              <w:rPr>
                <w:rFonts w:asciiTheme="minorHAnsi" w:eastAsiaTheme="minorEastAsia" w:hAnsiTheme="minorHAnsi"/>
                <w:noProof/>
                <w:szCs w:val="24"/>
                <w:lang w:eastAsia="lv-LV"/>
              </w:rPr>
              <w:tab/>
            </w:r>
            <w:r w:rsidRPr="000346A5">
              <w:rPr>
                <w:rStyle w:val="Hyperlink"/>
                <w:rFonts w:cs="Times New Roman"/>
                <w:b/>
                <w:bCs/>
                <w:noProof/>
              </w:rPr>
              <w:t>Sabiedrības viedokļu ietekme lēmumu pieņemšanā par platjoslas elektronisko sakaru infrastruktūras izvēršanu</w:t>
            </w:r>
            <w:r>
              <w:rPr>
                <w:noProof/>
                <w:webHidden/>
              </w:rPr>
              <w:tab/>
            </w:r>
            <w:r>
              <w:rPr>
                <w:noProof/>
                <w:webHidden/>
              </w:rPr>
              <w:fldChar w:fldCharType="begin"/>
            </w:r>
            <w:r>
              <w:rPr>
                <w:noProof/>
                <w:webHidden/>
              </w:rPr>
              <w:instrText xml:space="preserve"> PAGEREF _Toc215730743 \h </w:instrText>
            </w:r>
            <w:r>
              <w:rPr>
                <w:noProof/>
                <w:webHidden/>
              </w:rPr>
            </w:r>
            <w:r>
              <w:rPr>
                <w:noProof/>
                <w:webHidden/>
              </w:rPr>
              <w:fldChar w:fldCharType="separate"/>
            </w:r>
            <w:r>
              <w:rPr>
                <w:noProof/>
                <w:webHidden/>
              </w:rPr>
              <w:t>17</w:t>
            </w:r>
            <w:r>
              <w:rPr>
                <w:noProof/>
                <w:webHidden/>
              </w:rPr>
              <w:fldChar w:fldCharType="end"/>
            </w:r>
          </w:hyperlink>
        </w:p>
        <w:p w14:paraId="242D0356" w14:textId="66B68D9E" w:rsidR="00C10336" w:rsidRDefault="00C10336">
          <w:pPr>
            <w:pStyle w:val="TOC1"/>
            <w:tabs>
              <w:tab w:val="left" w:pos="720"/>
              <w:tab w:val="right" w:leader="dot" w:pos="8296"/>
            </w:tabs>
            <w:rPr>
              <w:rFonts w:asciiTheme="minorHAnsi" w:eastAsiaTheme="minorEastAsia" w:hAnsiTheme="minorHAnsi"/>
              <w:noProof/>
              <w:szCs w:val="24"/>
              <w:lang w:eastAsia="lv-LV"/>
            </w:rPr>
          </w:pPr>
          <w:hyperlink w:anchor="_Toc215730744" w:history="1">
            <w:r w:rsidRPr="000346A5">
              <w:rPr>
                <w:rStyle w:val="Hyperlink"/>
                <w:rFonts w:cs="Times New Roman"/>
                <w:b/>
                <w:bCs/>
                <w:noProof/>
              </w:rPr>
              <w:t>10.</w:t>
            </w:r>
            <w:r>
              <w:rPr>
                <w:rFonts w:asciiTheme="minorHAnsi" w:eastAsiaTheme="minorEastAsia" w:hAnsiTheme="minorHAnsi"/>
                <w:noProof/>
                <w:szCs w:val="24"/>
                <w:lang w:eastAsia="lv-LV"/>
              </w:rPr>
              <w:tab/>
            </w:r>
            <w:r w:rsidRPr="000346A5">
              <w:rPr>
                <w:rStyle w:val="Hyperlink"/>
                <w:rFonts w:cs="Times New Roman"/>
                <w:b/>
                <w:bCs/>
                <w:noProof/>
              </w:rPr>
              <w:t>Būtiskākie pamatprincipi fiziskās infrastruktūras īpašnieka vai pārvaldītāja un elektronisko sakaru komersanta savstarpējās sadarbības organizēšanai iekārtu ekspluatācijas laikā</w:t>
            </w:r>
            <w:r>
              <w:rPr>
                <w:noProof/>
                <w:webHidden/>
              </w:rPr>
              <w:tab/>
            </w:r>
            <w:r>
              <w:rPr>
                <w:noProof/>
                <w:webHidden/>
              </w:rPr>
              <w:fldChar w:fldCharType="begin"/>
            </w:r>
            <w:r>
              <w:rPr>
                <w:noProof/>
                <w:webHidden/>
              </w:rPr>
              <w:instrText xml:space="preserve"> PAGEREF _Toc215730744 \h </w:instrText>
            </w:r>
            <w:r>
              <w:rPr>
                <w:noProof/>
                <w:webHidden/>
              </w:rPr>
            </w:r>
            <w:r>
              <w:rPr>
                <w:noProof/>
                <w:webHidden/>
              </w:rPr>
              <w:fldChar w:fldCharType="separate"/>
            </w:r>
            <w:r>
              <w:rPr>
                <w:noProof/>
                <w:webHidden/>
              </w:rPr>
              <w:t>17</w:t>
            </w:r>
            <w:r>
              <w:rPr>
                <w:noProof/>
                <w:webHidden/>
              </w:rPr>
              <w:fldChar w:fldCharType="end"/>
            </w:r>
          </w:hyperlink>
        </w:p>
        <w:p w14:paraId="63CAB2EB" w14:textId="6DE5BAFA" w:rsidR="00534A36" w:rsidRPr="004A40A8" w:rsidRDefault="00534A36">
          <w:r w:rsidRPr="004A40A8">
            <w:rPr>
              <w:b/>
              <w:bCs/>
            </w:rPr>
            <w:fldChar w:fldCharType="end"/>
          </w:r>
        </w:p>
      </w:sdtContent>
    </w:sdt>
    <w:p w14:paraId="560089A5" w14:textId="77777777" w:rsidR="00CB6E72" w:rsidRPr="004A40A8" w:rsidRDefault="00CB6E72"/>
    <w:p w14:paraId="0D76F03F" w14:textId="77777777" w:rsidR="00FA551F" w:rsidRPr="004A40A8" w:rsidRDefault="00FA551F"/>
    <w:p w14:paraId="2D862028" w14:textId="77777777" w:rsidR="00FA551F" w:rsidRPr="004A40A8" w:rsidRDefault="00FA551F"/>
    <w:p w14:paraId="42107D94" w14:textId="77777777" w:rsidR="00FA551F" w:rsidRPr="004A40A8" w:rsidRDefault="00FA551F"/>
    <w:p w14:paraId="11BAAE14" w14:textId="77777777" w:rsidR="00FA551F" w:rsidRPr="004A40A8" w:rsidRDefault="00FA551F"/>
    <w:p w14:paraId="4C1B0F66" w14:textId="77777777" w:rsidR="00FA551F" w:rsidRPr="004A40A8" w:rsidRDefault="00FA551F"/>
    <w:p w14:paraId="3A6EA56C" w14:textId="77777777" w:rsidR="00FA551F" w:rsidRPr="004A40A8" w:rsidRDefault="00FA551F"/>
    <w:p w14:paraId="505666C5" w14:textId="65139097" w:rsidR="00CB6E72" w:rsidRPr="004A40A8" w:rsidRDefault="00CB6E72" w:rsidP="00A92EDD">
      <w:pPr>
        <w:pStyle w:val="Heading1"/>
        <w:ind w:firstLine="720"/>
        <w:rPr>
          <w:rFonts w:ascii="Times New Roman" w:hAnsi="Times New Roman" w:cs="Times New Roman"/>
          <w:b/>
          <w:bCs/>
          <w:color w:val="auto"/>
          <w:sz w:val="24"/>
          <w:szCs w:val="24"/>
        </w:rPr>
      </w:pPr>
      <w:bookmarkStart w:id="0" w:name="_Toc215730726"/>
      <w:r w:rsidRPr="004A40A8">
        <w:rPr>
          <w:rFonts w:ascii="Times New Roman" w:hAnsi="Times New Roman" w:cs="Times New Roman"/>
          <w:b/>
          <w:bCs/>
          <w:color w:val="auto"/>
          <w:sz w:val="24"/>
          <w:szCs w:val="24"/>
        </w:rPr>
        <w:lastRenderedPageBreak/>
        <w:t>Ievads</w:t>
      </w:r>
      <w:bookmarkEnd w:id="0"/>
    </w:p>
    <w:p w14:paraId="6FCE078C" w14:textId="29C8CA13" w:rsidR="00CB6E72" w:rsidRPr="004A40A8" w:rsidRDefault="00580FE0" w:rsidP="00E40F42">
      <w:pPr>
        <w:spacing w:after="0" w:line="240" w:lineRule="auto"/>
        <w:ind w:firstLine="720"/>
        <w:jc w:val="both"/>
      </w:pPr>
      <w:r w:rsidRPr="004A40A8">
        <w:t>Vadlīnijas</w:t>
      </w:r>
      <w:r w:rsidR="00925E98">
        <w:t xml:space="preserve"> </w:t>
      </w:r>
      <w:r w:rsidRPr="004A40A8">
        <w:t>tuvas darbības bezvadu piekļuves punktu izvietošanai (turpmāk</w:t>
      </w:r>
      <w:r w:rsidR="004A40A8">
        <w:t> </w:t>
      </w:r>
      <w:r w:rsidRPr="004A40A8">
        <w:t>–</w:t>
      </w:r>
      <w:r w:rsidR="004A40A8">
        <w:t> </w:t>
      </w:r>
      <w:r w:rsidR="00E45E5D" w:rsidRPr="004A40A8">
        <w:t>Vadlīnijas</w:t>
      </w:r>
      <w:r w:rsidRPr="004A40A8">
        <w:t>)</w:t>
      </w:r>
      <w:r w:rsidR="00E45E5D" w:rsidRPr="004A40A8">
        <w:t xml:space="preserve"> izstrādātas atbilstoši Ministru kabineta 2024.</w:t>
      </w:r>
      <w:r w:rsidR="005D59A2" w:rsidRPr="004A40A8">
        <w:t> </w:t>
      </w:r>
      <w:r w:rsidR="00E45E5D" w:rsidRPr="004A40A8">
        <w:t>gada 4.</w:t>
      </w:r>
      <w:r w:rsidR="005D59A2" w:rsidRPr="004A40A8">
        <w:t> </w:t>
      </w:r>
      <w:r w:rsidR="00E45E5D" w:rsidRPr="004A40A8">
        <w:t>jūnija sēdes protokola (prot.</w:t>
      </w:r>
      <w:r w:rsidR="000F429D" w:rsidRPr="004A40A8">
        <w:t> </w:t>
      </w:r>
      <w:r w:rsidR="00E45E5D" w:rsidRPr="004A40A8">
        <w:t>Nr.</w:t>
      </w:r>
      <w:r w:rsidR="005D59A2" w:rsidRPr="004A40A8">
        <w:t> </w:t>
      </w:r>
      <w:r w:rsidR="00E45E5D" w:rsidRPr="004A40A8">
        <w:t>23, 66. §)</w:t>
      </w:r>
      <w:r w:rsidR="002B1CDD">
        <w:t xml:space="preserve"> </w:t>
      </w:r>
      <w:r w:rsidR="00E45E5D" w:rsidRPr="004A40A8">
        <w:t>Informatīvais ziņojums “Par pasākumiem administratīvā sloga mazināšanai</w:t>
      </w:r>
      <w:r w:rsidR="00925E98">
        <w:t xml:space="preserve"> </w:t>
      </w:r>
      <w:r w:rsidR="00E45E5D" w:rsidRPr="004A40A8">
        <w:t xml:space="preserve">elektronisko sakaru tīkla attīstībai” </w:t>
      </w:r>
      <w:r w:rsidR="00000A79" w:rsidRPr="004A40A8">
        <w:t>(turpmāk</w:t>
      </w:r>
      <w:r w:rsidR="004A40A8">
        <w:t> </w:t>
      </w:r>
      <w:r w:rsidR="00000A79" w:rsidRPr="004A40A8">
        <w:t>–</w:t>
      </w:r>
      <w:r w:rsidR="004A40A8">
        <w:t> </w:t>
      </w:r>
      <w:r w:rsidR="00226505" w:rsidRPr="004A40A8">
        <w:t>Administratīvā sloga mazināšanas z</w:t>
      </w:r>
      <w:r w:rsidR="00000A79" w:rsidRPr="004A40A8">
        <w:t xml:space="preserve">iņojums) </w:t>
      </w:r>
      <w:r w:rsidR="00E45E5D" w:rsidRPr="004A40A8">
        <w:t>4.</w:t>
      </w:r>
      <w:r w:rsidR="004A40A8">
        <w:t> </w:t>
      </w:r>
      <w:r w:rsidR="00E45E5D" w:rsidRPr="004A40A8">
        <w:t>punktā dotajam uzdevumam</w:t>
      </w:r>
      <w:r w:rsidR="000F429D" w:rsidRPr="004A40A8">
        <w:t>.</w:t>
      </w:r>
    </w:p>
    <w:p w14:paraId="7C5DE7F9" w14:textId="2D666A2F" w:rsidR="00AB4DFC" w:rsidRPr="004A40A8" w:rsidRDefault="00AB4DFC" w:rsidP="00E40F42">
      <w:pPr>
        <w:spacing w:after="0" w:line="240" w:lineRule="auto"/>
        <w:ind w:firstLine="720"/>
        <w:jc w:val="both"/>
        <w:rPr>
          <w:rFonts w:cs="Times New Roman"/>
          <w:szCs w:val="24"/>
          <w:shd w:val="clear" w:color="auto" w:fill="FFFFFF"/>
        </w:rPr>
      </w:pPr>
      <w:r w:rsidRPr="004A40A8">
        <w:rPr>
          <w:rFonts w:cs="Times New Roman"/>
          <w:szCs w:val="24"/>
        </w:rPr>
        <w:t>Administratīvā sloga samazināšana elektronisko sakaru tīkla attīstībai ir būtisks priekšnosacījums, lai veicinātu nacionālajos</w:t>
      </w:r>
      <w:r w:rsidRPr="004A40A8">
        <w:rPr>
          <w:rStyle w:val="FootnoteReference"/>
          <w:rFonts w:cs="Times New Roman"/>
          <w:szCs w:val="24"/>
        </w:rPr>
        <w:footnoteReference w:id="1"/>
      </w:r>
      <w:r w:rsidR="00117895" w:rsidRPr="00CC09DD">
        <w:rPr>
          <w:rFonts w:cs="Times New Roman"/>
          <w:szCs w:val="24"/>
          <w:vertAlign w:val="superscript"/>
        </w:rPr>
        <w:t>,</w:t>
      </w:r>
      <w:r w:rsidR="00F76CEE">
        <w:rPr>
          <w:rFonts w:cs="Times New Roman"/>
          <w:szCs w:val="24"/>
        </w:rPr>
        <w:t> </w:t>
      </w:r>
      <w:r w:rsidR="00117895" w:rsidRPr="004A40A8">
        <w:rPr>
          <w:rStyle w:val="FootnoteReference"/>
          <w:rFonts w:cs="Times New Roman"/>
          <w:szCs w:val="24"/>
        </w:rPr>
        <w:footnoteReference w:id="2"/>
      </w:r>
      <w:r w:rsidRPr="004A40A8">
        <w:rPr>
          <w:rFonts w:cs="Times New Roman"/>
          <w:szCs w:val="24"/>
        </w:rPr>
        <w:t xml:space="preserve">, kā arī </w:t>
      </w:r>
      <w:r w:rsidRPr="004A40A8">
        <w:rPr>
          <w:rFonts w:cs="Times New Roman"/>
          <w:szCs w:val="24"/>
          <w:shd w:val="clear" w:color="auto" w:fill="FFFFFF"/>
        </w:rPr>
        <w:t>Eiropas</w:t>
      </w:r>
      <w:r w:rsidR="00C579F6" w:rsidRPr="004A40A8">
        <w:rPr>
          <w:rFonts w:cs="Times New Roman"/>
          <w:szCs w:val="24"/>
          <w:shd w:val="clear" w:color="auto" w:fill="FFFFFF"/>
        </w:rPr>
        <w:t xml:space="preserve"> Savienības (turpmāk</w:t>
      </w:r>
      <w:r w:rsidR="004A40A8">
        <w:rPr>
          <w:rFonts w:cs="Times New Roman"/>
          <w:szCs w:val="24"/>
          <w:shd w:val="clear" w:color="auto" w:fill="FFFFFF"/>
        </w:rPr>
        <w:t> </w:t>
      </w:r>
      <w:r w:rsidR="00C579F6" w:rsidRPr="004A40A8">
        <w:rPr>
          <w:rFonts w:cs="Times New Roman"/>
          <w:szCs w:val="24"/>
          <w:shd w:val="clear" w:color="auto" w:fill="FFFFFF"/>
        </w:rPr>
        <w:t>–</w:t>
      </w:r>
      <w:r w:rsidR="004A40A8">
        <w:rPr>
          <w:rFonts w:cs="Times New Roman"/>
          <w:szCs w:val="24"/>
          <w:shd w:val="clear" w:color="auto" w:fill="FFFFFF"/>
        </w:rPr>
        <w:t> </w:t>
      </w:r>
      <w:r w:rsidR="00C579F6" w:rsidRPr="004A40A8">
        <w:rPr>
          <w:rFonts w:cs="Times New Roman"/>
          <w:szCs w:val="24"/>
          <w:shd w:val="clear" w:color="auto" w:fill="FFFFFF"/>
        </w:rPr>
        <w:t>ES)</w:t>
      </w:r>
      <w:r w:rsidRPr="004A40A8">
        <w:rPr>
          <w:rFonts w:cs="Times New Roman"/>
          <w:szCs w:val="24"/>
          <w:shd w:val="clear" w:color="auto" w:fill="FFFFFF"/>
        </w:rPr>
        <w:t xml:space="preserve"> stratēģiskajos dokumentos</w:t>
      </w:r>
      <w:r w:rsidRPr="004A40A8">
        <w:rPr>
          <w:rStyle w:val="FootnoteReference"/>
          <w:rFonts w:cs="Times New Roman"/>
          <w:szCs w:val="24"/>
          <w:shd w:val="clear" w:color="auto" w:fill="FFFFFF"/>
        </w:rPr>
        <w:footnoteReference w:id="3"/>
      </w:r>
      <w:r w:rsidRPr="004A40A8">
        <w:rPr>
          <w:rFonts w:cs="Times New Roman"/>
          <w:szCs w:val="24"/>
          <w:shd w:val="clear" w:color="auto" w:fill="FFFFFF"/>
        </w:rPr>
        <w:t xml:space="preserve"> noteikto mērķu </w:t>
      </w:r>
      <w:r w:rsidR="00C579F6" w:rsidRPr="004A40A8">
        <w:rPr>
          <w:rFonts w:cs="Times New Roman"/>
          <w:szCs w:val="24"/>
          <w:shd w:val="clear" w:color="auto" w:fill="FFFFFF"/>
        </w:rPr>
        <w:t>digitālajā jomā</w:t>
      </w:r>
      <w:r w:rsidRPr="004A40A8">
        <w:rPr>
          <w:rFonts w:cs="Times New Roman"/>
          <w:szCs w:val="24"/>
          <w:shd w:val="clear" w:color="auto" w:fill="FFFFFF"/>
        </w:rPr>
        <w:t xml:space="preserve"> sasniegšanu. </w:t>
      </w:r>
    </w:p>
    <w:p w14:paraId="3E9CB551" w14:textId="75127F5C" w:rsidR="00843112" w:rsidRPr="004A40A8" w:rsidRDefault="00843112" w:rsidP="00E40F42">
      <w:pPr>
        <w:spacing w:after="0" w:line="240" w:lineRule="auto"/>
        <w:ind w:firstLine="720"/>
        <w:jc w:val="both"/>
        <w:rPr>
          <w:rFonts w:eastAsia="Times New Roman" w:cs="Times New Roman"/>
          <w:color w:val="000000"/>
          <w:lang w:eastAsia="lv-LV"/>
        </w:rPr>
      </w:pPr>
      <w:r w:rsidRPr="004A40A8">
        <w:rPr>
          <w:rFonts w:eastAsia="Times New Roman" w:cs="Times New Roman"/>
          <w:color w:val="000000"/>
          <w:lang w:eastAsia="lv-LV"/>
        </w:rPr>
        <w:t xml:space="preserve">Atzīmējams, </w:t>
      </w:r>
      <w:r w:rsidR="005D59A2" w:rsidRPr="004A40A8">
        <w:rPr>
          <w:rFonts w:eastAsia="Times New Roman" w:cs="Times New Roman"/>
          <w:color w:val="000000"/>
          <w:lang w:eastAsia="lv-LV"/>
        </w:rPr>
        <w:t>ka Latvijai kā</w:t>
      </w:r>
      <w:r w:rsidR="00C579F6" w:rsidRPr="004A40A8">
        <w:rPr>
          <w:rFonts w:eastAsia="Times New Roman" w:cs="Times New Roman"/>
          <w:color w:val="000000"/>
          <w:lang w:eastAsia="lv-LV"/>
        </w:rPr>
        <w:t xml:space="preserve"> </w:t>
      </w:r>
      <w:r w:rsidR="005D59A2" w:rsidRPr="004A40A8">
        <w:rPr>
          <w:rFonts w:eastAsia="Times New Roman" w:cs="Times New Roman"/>
          <w:color w:val="000000"/>
          <w:lang w:eastAsia="lv-LV"/>
        </w:rPr>
        <w:t>ES</w:t>
      </w:r>
      <w:r w:rsidR="00C579F6" w:rsidRPr="004A40A8">
        <w:rPr>
          <w:rFonts w:eastAsia="Times New Roman" w:cs="Times New Roman"/>
          <w:color w:val="000000"/>
          <w:lang w:eastAsia="lv-LV"/>
        </w:rPr>
        <w:t xml:space="preserve"> </w:t>
      </w:r>
      <w:r w:rsidR="005D59A2" w:rsidRPr="004A40A8">
        <w:rPr>
          <w:rFonts w:eastAsia="Times New Roman" w:cs="Times New Roman"/>
          <w:color w:val="000000"/>
          <w:lang w:eastAsia="lv-LV"/>
        </w:rPr>
        <w:t>dalībvalstij ir jā</w:t>
      </w:r>
      <w:r w:rsidR="00C579F6" w:rsidRPr="004A40A8">
        <w:rPr>
          <w:rFonts w:eastAsia="Times New Roman" w:cs="Times New Roman"/>
          <w:color w:val="000000"/>
          <w:lang w:eastAsia="lv-LV"/>
        </w:rPr>
        <w:t xml:space="preserve">izpilda </w:t>
      </w:r>
      <w:r w:rsidRPr="004A40A8">
        <w:rPr>
          <w:color w:val="000000"/>
        </w:rPr>
        <w:t>Eiropas Parlamenta un Padomes 2022. gada 14. decembr</w:t>
      </w:r>
      <w:r w:rsidR="00437344">
        <w:rPr>
          <w:color w:val="000000"/>
        </w:rPr>
        <w:t>a</w:t>
      </w:r>
      <w:r w:rsidRPr="004A40A8">
        <w:rPr>
          <w:color w:val="000000"/>
        </w:rPr>
        <w:t xml:space="preserve"> lēmumā (ES) 2022/2481, ar ko izveido politikas programmu “Digitālās desmitgades ceļš” 2030. gadam</w:t>
      </w:r>
      <w:r w:rsidR="00C579F6" w:rsidRPr="004A40A8">
        <w:rPr>
          <w:rStyle w:val="FootnoteReference"/>
          <w:rFonts w:cs="Times New Roman"/>
          <w:szCs w:val="24"/>
        </w:rPr>
        <w:footnoteReference w:id="4"/>
      </w:r>
      <w:r w:rsidR="00C579F6" w:rsidRPr="004A40A8">
        <w:rPr>
          <w:rFonts w:cs="Times New Roman"/>
          <w:szCs w:val="24"/>
        </w:rPr>
        <w:t xml:space="preserve"> </w:t>
      </w:r>
      <w:r w:rsidRPr="004A40A8">
        <w:rPr>
          <w:color w:val="000000"/>
        </w:rPr>
        <w:t xml:space="preserve"> </w:t>
      </w:r>
      <w:r w:rsidR="005D59A2" w:rsidRPr="004A40A8">
        <w:rPr>
          <w:rFonts w:eastAsia="Times New Roman" w:cs="Times New Roman"/>
          <w:color w:val="000000"/>
          <w:lang w:eastAsia="lv-LV"/>
        </w:rPr>
        <w:t>noteikt</w:t>
      </w:r>
      <w:r w:rsidR="00C579F6" w:rsidRPr="004A40A8">
        <w:rPr>
          <w:rFonts w:eastAsia="Times New Roman" w:cs="Times New Roman"/>
          <w:color w:val="000000"/>
          <w:lang w:eastAsia="lv-LV"/>
        </w:rPr>
        <w:t xml:space="preserve">ais </w:t>
      </w:r>
      <w:r w:rsidR="004A40A8" w:rsidRPr="004A40A8">
        <w:rPr>
          <w:color w:val="000000"/>
        </w:rPr>
        <w:t>–</w:t>
      </w:r>
      <w:r w:rsidR="004A40A8">
        <w:rPr>
          <w:color w:val="000000"/>
        </w:rPr>
        <w:t xml:space="preserve"> </w:t>
      </w:r>
      <w:r w:rsidR="00EB1C58" w:rsidRPr="004A40A8">
        <w:rPr>
          <w:rFonts w:eastAsia="Times New Roman" w:cs="Times New Roman"/>
          <w:color w:val="000000"/>
          <w:lang w:eastAsia="lv-LV"/>
        </w:rPr>
        <w:t>proti</w:t>
      </w:r>
      <w:r w:rsidR="00C579F6" w:rsidRPr="004A40A8">
        <w:rPr>
          <w:rFonts w:eastAsia="Times New Roman" w:cs="Times New Roman"/>
          <w:color w:val="000000"/>
          <w:lang w:eastAsia="lv-LV"/>
        </w:rPr>
        <w:t xml:space="preserve"> </w:t>
      </w:r>
      <w:r w:rsidRPr="004A40A8">
        <w:t xml:space="preserve">līdz 2030.gadam valstī ir </w:t>
      </w:r>
      <w:r w:rsidR="00EB1C58" w:rsidRPr="004A40A8">
        <w:t>jā</w:t>
      </w:r>
      <w:r w:rsidRPr="004A40A8">
        <w:t>nodrošin</w:t>
      </w:r>
      <w:r w:rsidR="00EB1C58" w:rsidRPr="004A40A8">
        <w:t>a</w:t>
      </w:r>
      <w:r w:rsidRPr="004A40A8">
        <w:t xml:space="preserve"> droša, noturīga, </w:t>
      </w:r>
      <w:proofErr w:type="spellStart"/>
      <w:r w:rsidRPr="004A40A8">
        <w:t>veiktspējīga</w:t>
      </w:r>
      <w:proofErr w:type="spellEnd"/>
      <w:r w:rsidRPr="004A40A8">
        <w:t xml:space="preserve"> un ilgtspējīga digitālā infrastruktūra, kur</w:t>
      </w:r>
      <w:r w:rsidR="00D46E62">
        <w:t xml:space="preserve"> “</w:t>
      </w:r>
      <w:r w:rsidRPr="004A40A8">
        <w:t xml:space="preserve">visi galalietotāji noteiktā atrašanās vietā ir aptverti ar gigabitu tīklu līdz tīkla </w:t>
      </w:r>
      <w:proofErr w:type="spellStart"/>
      <w:r w:rsidRPr="004A40A8">
        <w:t>pieslēgumpunktam</w:t>
      </w:r>
      <w:proofErr w:type="spellEnd"/>
      <w:r w:rsidRPr="004A40A8">
        <w:t>, un visas apdzīvotās teritorijas ir aptvertas ar nākamās paaudzes ātrdarbīgiem bezvadu tīkliem ar vismaz 5G līdzvērtīgu veiktspēju saskaņā ar tehnoloģiju neitralitātes principu.</w:t>
      </w:r>
      <w:r w:rsidR="00F76CEE">
        <w:t>”</w:t>
      </w:r>
    </w:p>
    <w:p w14:paraId="4E2972FA" w14:textId="16E2FE4B" w:rsidR="005D59A2" w:rsidRPr="004A40A8" w:rsidRDefault="00843112" w:rsidP="00E40F42">
      <w:pPr>
        <w:spacing w:after="0" w:line="240" w:lineRule="auto"/>
        <w:ind w:firstLine="709"/>
        <w:jc w:val="both"/>
        <w:rPr>
          <w:rFonts w:eastAsia="Times New Roman" w:cs="Times New Roman"/>
          <w:color w:val="000000"/>
          <w:lang w:eastAsia="lv-LV"/>
        </w:rPr>
      </w:pPr>
      <w:r w:rsidRPr="004A40A8">
        <w:rPr>
          <w:rFonts w:eastAsia="Times New Roman" w:cs="Times New Roman"/>
          <w:color w:val="000000"/>
          <w:lang w:eastAsia="lv-LV"/>
        </w:rPr>
        <w:t>Ņemot vērā minēto,</w:t>
      </w:r>
      <w:r w:rsidR="005D59A2" w:rsidRPr="004A40A8">
        <w:rPr>
          <w:rFonts w:eastAsia="Times New Roman" w:cs="Times New Roman"/>
          <w:color w:val="000000"/>
          <w:lang w:eastAsia="lv-LV"/>
        </w:rPr>
        <w:t xml:space="preserve"> ļoti būtiski ir atvieglot nepieciešamās elektronisko sakaru infrastruktūras izvēršanu.</w:t>
      </w:r>
    </w:p>
    <w:p w14:paraId="72D583F6" w14:textId="25841DB6" w:rsidR="00292F9C" w:rsidRPr="004A40A8" w:rsidRDefault="001400E7" w:rsidP="00E40F42">
      <w:pPr>
        <w:spacing w:after="0" w:line="240" w:lineRule="auto"/>
        <w:ind w:firstLine="720"/>
        <w:jc w:val="both"/>
      </w:pPr>
      <w:r w:rsidRPr="00F76CEE">
        <w:rPr>
          <w:szCs w:val="24"/>
        </w:rPr>
        <w:t>Administratīvā sloga mazināšanas ziņojuma izstrādes laikā</w:t>
      </w:r>
      <w:r w:rsidR="00FB26D2" w:rsidRPr="00F76CEE">
        <w:rPr>
          <w:szCs w:val="24"/>
        </w:rPr>
        <w:t xml:space="preserve"> </w:t>
      </w:r>
      <w:r w:rsidR="00FB26D2" w:rsidRPr="00CC09DD">
        <w:rPr>
          <w:szCs w:val="24"/>
        </w:rPr>
        <w:t>darba grup</w:t>
      </w:r>
      <w:r w:rsidR="006E0EC7" w:rsidRPr="00CC09DD">
        <w:rPr>
          <w:szCs w:val="24"/>
        </w:rPr>
        <w:t>ā</w:t>
      </w:r>
      <w:r w:rsidR="00FB26D2" w:rsidRPr="00CC09DD">
        <w:rPr>
          <w:szCs w:val="24"/>
        </w:rPr>
        <w:t xml:space="preserve">, kuru Satiksmes ministrija bija izveidojusi atbilstoši Ministru kabineta 2021. gada 11. novembra rīkojuma Nr. 826 “Par Elektronisko sakaru nozares attīstības plānu 2021.-2027. gadam” 3.punktam, </w:t>
      </w:r>
      <w:r w:rsidR="00E62280" w:rsidRPr="00F76CEE">
        <w:rPr>
          <w:szCs w:val="24"/>
        </w:rPr>
        <w:t xml:space="preserve"> </w:t>
      </w:r>
      <w:r w:rsidR="00FB26D2" w:rsidRPr="00F76CEE">
        <w:rPr>
          <w:szCs w:val="24"/>
        </w:rPr>
        <w:t xml:space="preserve">tika </w:t>
      </w:r>
      <w:r w:rsidR="00E62280" w:rsidRPr="00F76CEE">
        <w:rPr>
          <w:szCs w:val="24"/>
        </w:rPr>
        <w:t>secināts, ka nepieciešams apkopot</w:t>
      </w:r>
      <w:r w:rsidR="00FB26D2" w:rsidRPr="00F76CEE">
        <w:rPr>
          <w:szCs w:val="24"/>
        </w:rPr>
        <w:t xml:space="preserve"> </w:t>
      </w:r>
      <w:r w:rsidR="000269E5" w:rsidRPr="00F76CEE">
        <w:rPr>
          <w:rFonts w:eastAsia="Times New Roman" w:cs="Times New Roman"/>
          <w:iCs/>
          <w:szCs w:val="24"/>
          <w:lang w:eastAsia="lv-LV"/>
        </w:rPr>
        <w:t>nosacījum</w:t>
      </w:r>
      <w:r w:rsidR="00FB26D2" w:rsidRPr="00F76CEE">
        <w:rPr>
          <w:rFonts w:eastAsia="Times New Roman" w:cs="Times New Roman"/>
          <w:iCs/>
          <w:szCs w:val="24"/>
          <w:lang w:eastAsia="lv-LV"/>
        </w:rPr>
        <w:t>us</w:t>
      </w:r>
      <w:r w:rsidR="000269E5" w:rsidRPr="00F76CEE">
        <w:rPr>
          <w:rFonts w:eastAsia="Times New Roman" w:cs="Times New Roman"/>
          <w:iCs/>
          <w:szCs w:val="24"/>
          <w:lang w:eastAsia="lv-LV"/>
        </w:rPr>
        <w:t xml:space="preserve"> tuvas darbības bezvadu piekļuv</w:t>
      </w:r>
      <w:r w:rsidR="000269E5" w:rsidRPr="004A40A8">
        <w:rPr>
          <w:rFonts w:eastAsia="Times New Roman" w:cs="Times New Roman"/>
          <w:iCs/>
          <w:szCs w:val="24"/>
          <w:lang w:eastAsia="lv-LV"/>
        </w:rPr>
        <w:t>es punktu izvietošana</w:t>
      </w:r>
      <w:r w:rsidR="00FB26D2" w:rsidRPr="004A40A8">
        <w:rPr>
          <w:rFonts w:eastAsia="Times New Roman" w:cs="Times New Roman"/>
          <w:iCs/>
          <w:szCs w:val="24"/>
          <w:lang w:eastAsia="lv-LV"/>
        </w:rPr>
        <w:t>i un iekļaut</w:t>
      </w:r>
      <w:r w:rsidR="000269E5" w:rsidRPr="004A40A8">
        <w:rPr>
          <w:rFonts w:eastAsia="Times New Roman" w:cs="Times New Roman"/>
          <w:iCs/>
          <w:szCs w:val="24"/>
          <w:lang w:eastAsia="lv-LV"/>
        </w:rPr>
        <w:t xml:space="preserve">  vadlīnij</w:t>
      </w:r>
      <w:r w:rsidR="00FB26D2" w:rsidRPr="004A40A8">
        <w:rPr>
          <w:rFonts w:eastAsia="Times New Roman" w:cs="Times New Roman"/>
          <w:iCs/>
          <w:szCs w:val="24"/>
          <w:lang w:eastAsia="lv-LV"/>
        </w:rPr>
        <w:t>ā</w:t>
      </w:r>
      <w:r w:rsidR="000269E5" w:rsidRPr="004A40A8">
        <w:rPr>
          <w:rFonts w:eastAsia="Times New Roman" w:cs="Times New Roman"/>
          <w:iCs/>
          <w:szCs w:val="24"/>
          <w:lang w:eastAsia="lv-LV"/>
        </w:rPr>
        <w:t>s</w:t>
      </w:r>
      <w:r w:rsidR="00292F9C" w:rsidRPr="004A40A8">
        <w:rPr>
          <w:rFonts w:eastAsia="Times New Roman" w:cs="Times New Roman"/>
          <w:iCs/>
          <w:szCs w:val="24"/>
          <w:lang w:eastAsia="lv-LV"/>
        </w:rPr>
        <w:t xml:space="preserve">, lai novērstu, ka </w:t>
      </w:r>
      <w:r w:rsidR="00292F9C" w:rsidRPr="004A40A8">
        <w:t xml:space="preserve">normatīvajos aktos paredzētās atvieglotās piekļuves tiesības infrastruktūras objektiem praksē netiek īstenotas. </w:t>
      </w:r>
      <w:r w:rsidR="008323F9" w:rsidRPr="004A40A8">
        <w:t>Kā norādījusi nozare,</w:t>
      </w:r>
      <w:r w:rsidR="00292F9C" w:rsidRPr="004A40A8">
        <w:t xml:space="preserve"> iesaistīt</w:t>
      </w:r>
      <w:r w:rsidR="00FA7980" w:rsidRPr="004A40A8">
        <w:t xml:space="preserve">ās puses, tostarp </w:t>
      </w:r>
      <w:r w:rsidR="00292F9C" w:rsidRPr="004A40A8">
        <w:t xml:space="preserve">nekustamā īpašuma </w:t>
      </w:r>
      <w:r w:rsidR="00CF3876" w:rsidRPr="004A40A8">
        <w:t>īpašnieki</w:t>
      </w:r>
      <w:r w:rsidR="002A26EC" w:rsidRPr="004A40A8">
        <w:t xml:space="preserve"> </w:t>
      </w:r>
      <w:r w:rsidR="00CF3876" w:rsidRPr="004A40A8">
        <w:t xml:space="preserve">un </w:t>
      </w:r>
      <w:r w:rsidR="007C627C">
        <w:t>pārvaldītāji</w:t>
      </w:r>
      <w:r w:rsidR="00292F9C" w:rsidRPr="004A40A8">
        <w:t>,</w:t>
      </w:r>
      <w:r w:rsidR="00CF3876" w:rsidRPr="004A40A8">
        <w:t xml:space="preserve"> kā arī</w:t>
      </w:r>
      <w:r w:rsidR="00292F9C" w:rsidRPr="004A40A8">
        <w:t xml:space="preserve"> infrastruktūras īpašnieki u.c. nav informēti</w:t>
      </w:r>
      <w:r w:rsidR="006E0EC7" w:rsidRPr="004A40A8">
        <w:t xml:space="preserve"> par minētajiem atvieglojumiem</w:t>
      </w:r>
      <w:r w:rsidR="00292F9C" w:rsidRPr="004A40A8">
        <w:t xml:space="preserve"> un </w:t>
      </w:r>
      <w:r w:rsidR="00CF3876" w:rsidRPr="004A40A8">
        <w:t>nereti iebilst</w:t>
      </w:r>
      <w:r w:rsidR="00292F9C" w:rsidRPr="004A40A8">
        <w:t xml:space="preserve"> </w:t>
      </w:r>
      <w:r w:rsidR="00CF3876" w:rsidRPr="004A40A8">
        <w:t xml:space="preserve">pret nepieciešamās </w:t>
      </w:r>
      <w:r w:rsidR="00292F9C" w:rsidRPr="004A40A8">
        <w:t xml:space="preserve">elektronisko sakaru </w:t>
      </w:r>
      <w:r w:rsidR="00CF3876" w:rsidRPr="004A40A8">
        <w:t>infrastruktūras</w:t>
      </w:r>
      <w:r w:rsidR="00292F9C" w:rsidRPr="004A40A8">
        <w:t xml:space="preserve"> izvietošan</w:t>
      </w:r>
      <w:r w:rsidR="00CF3876" w:rsidRPr="004A40A8">
        <w:t>u</w:t>
      </w:r>
      <w:r w:rsidR="00FA7980" w:rsidRPr="004A40A8">
        <w:t>, tādējādi kavējot</w:t>
      </w:r>
      <w:r w:rsidR="00292F9C" w:rsidRPr="004A40A8">
        <w:t xml:space="preserve"> digitālās infrastruktūras attīstīb</w:t>
      </w:r>
      <w:r w:rsidR="00FA7980" w:rsidRPr="004A40A8">
        <w:t>u</w:t>
      </w:r>
      <w:r w:rsidR="00292F9C" w:rsidRPr="004A40A8">
        <w:t>.</w:t>
      </w:r>
    </w:p>
    <w:p w14:paraId="6ABD77D1" w14:textId="3B57A2EA" w:rsidR="00995258" w:rsidRPr="004A40A8" w:rsidRDefault="00995258" w:rsidP="00E40F42">
      <w:pPr>
        <w:spacing w:after="0" w:line="240" w:lineRule="auto"/>
        <w:ind w:firstLine="720"/>
        <w:jc w:val="both"/>
        <w:rPr>
          <w:szCs w:val="24"/>
        </w:rPr>
      </w:pPr>
      <w:r w:rsidRPr="004A40A8">
        <w:rPr>
          <w:szCs w:val="24"/>
        </w:rPr>
        <w:t xml:space="preserve">Vadlīnijās ir iekļauts skaidrojums tuvas darbības bezvadu piekļuves punktu izvēršanai, savukārt, visas tuvas darbības bezvadu piekļuves punktu izvēršanas obligātās prasības ir noteiktas normatīvajos aktos, tostarp </w:t>
      </w:r>
      <w:r w:rsidR="00E860E4" w:rsidRPr="004A40A8">
        <w:rPr>
          <w:rFonts w:cs="Times New Roman"/>
          <w:szCs w:val="24"/>
        </w:rPr>
        <w:t xml:space="preserve">Eiropas Parlamenta un Padomes </w:t>
      </w:r>
      <w:r w:rsidR="006B1743" w:rsidRPr="006B1743">
        <w:rPr>
          <w:rFonts w:cs="Times New Roman"/>
          <w:szCs w:val="24"/>
        </w:rPr>
        <w:t>2024. gada 29. aprī</w:t>
      </w:r>
      <w:r w:rsidR="006B1743">
        <w:rPr>
          <w:rFonts w:cs="Times New Roman"/>
          <w:szCs w:val="24"/>
        </w:rPr>
        <w:t xml:space="preserve">ļa </w:t>
      </w:r>
      <w:r w:rsidR="00E860E4" w:rsidRPr="004A40A8">
        <w:rPr>
          <w:rFonts w:cs="Times New Roman"/>
          <w:szCs w:val="24"/>
        </w:rPr>
        <w:t>regulā (ES)</w:t>
      </w:r>
      <w:r w:rsidR="005A630C">
        <w:rPr>
          <w:rFonts w:cs="Times New Roman"/>
          <w:szCs w:val="24"/>
        </w:rPr>
        <w:t xml:space="preserve"> Nr. </w:t>
      </w:r>
      <w:r w:rsidR="00E860E4" w:rsidRPr="004A40A8">
        <w:rPr>
          <w:rFonts w:cs="Times New Roman"/>
          <w:szCs w:val="24"/>
        </w:rPr>
        <w:t>2024/1309 par</w:t>
      </w:r>
      <w:r w:rsidR="00E860E4" w:rsidRPr="004A40A8">
        <w:rPr>
          <w:rFonts w:cs="Times New Roman"/>
          <w:noProof/>
          <w:szCs w:val="24"/>
        </w:rPr>
        <w:t xml:space="preserve"> gigabitisku</w:t>
      </w:r>
      <w:r w:rsidR="00E860E4" w:rsidRPr="004A40A8">
        <w:rPr>
          <w:rFonts w:cs="Times New Roman"/>
          <w:szCs w:val="24"/>
        </w:rPr>
        <w:t xml:space="preserve"> elektronisko </w:t>
      </w:r>
      <w:r w:rsidR="00E860E4" w:rsidRPr="004A40A8">
        <w:rPr>
          <w:rFonts w:cs="Times New Roman"/>
          <w:szCs w:val="24"/>
        </w:rPr>
        <w:lastRenderedPageBreak/>
        <w:t>sakaru tīklu ierīkošanas izmaksu samazināšanas pasākumiem, Regulas (ES) 2015/2120 grozīšanu un Direktīvas 2014/61/ES atcelšanu</w:t>
      </w:r>
      <w:r w:rsidR="00E860E4" w:rsidRPr="004A40A8">
        <w:rPr>
          <w:rStyle w:val="FootnoteReference"/>
          <w:rFonts w:cs="Times New Roman"/>
          <w:szCs w:val="24"/>
        </w:rPr>
        <w:footnoteReference w:id="5"/>
      </w:r>
      <w:r w:rsidR="00E860E4" w:rsidRPr="004A40A8">
        <w:rPr>
          <w:rFonts w:cs="Times New Roman"/>
          <w:szCs w:val="24"/>
        </w:rPr>
        <w:t xml:space="preserve"> (turpmāk </w:t>
      </w:r>
      <w:r w:rsidR="00904C2C">
        <w:rPr>
          <w:rFonts w:cs="Times New Roman"/>
          <w:szCs w:val="24"/>
        </w:rPr>
        <w:t>–</w:t>
      </w:r>
      <w:r w:rsidR="00E860E4" w:rsidRPr="004A40A8">
        <w:rPr>
          <w:rFonts w:cs="Times New Roman"/>
          <w:szCs w:val="24"/>
        </w:rPr>
        <w:t xml:space="preserve"> Gigabitu regula).</w:t>
      </w:r>
    </w:p>
    <w:p w14:paraId="34131306" w14:textId="6CCA3452" w:rsidR="00B41E0D" w:rsidRDefault="00B41E0D" w:rsidP="00E40F42">
      <w:pPr>
        <w:spacing w:after="0" w:line="240" w:lineRule="auto"/>
        <w:ind w:firstLine="720"/>
        <w:jc w:val="both"/>
        <w:rPr>
          <w:szCs w:val="24"/>
        </w:rPr>
      </w:pPr>
      <w:r w:rsidRPr="004A40A8">
        <w:rPr>
          <w:szCs w:val="24"/>
        </w:rPr>
        <w:t>Vadlīniju mērķauditorija ir</w:t>
      </w:r>
      <w:r w:rsidR="00C2088E" w:rsidRPr="004A40A8">
        <w:rPr>
          <w:szCs w:val="24"/>
        </w:rPr>
        <w:t xml:space="preserve"> Gigabitu regulas 2.</w:t>
      </w:r>
      <w:r w:rsidR="00DC395A" w:rsidRPr="004A40A8">
        <w:rPr>
          <w:szCs w:val="24"/>
        </w:rPr>
        <w:t> </w:t>
      </w:r>
      <w:r w:rsidR="00C2088E" w:rsidRPr="004A40A8">
        <w:rPr>
          <w:szCs w:val="24"/>
        </w:rPr>
        <w:t>panta 4.</w:t>
      </w:r>
      <w:r w:rsidR="00DC395A" w:rsidRPr="004A40A8">
        <w:rPr>
          <w:szCs w:val="24"/>
        </w:rPr>
        <w:t> </w:t>
      </w:r>
      <w:r w:rsidR="00C2088E" w:rsidRPr="004A40A8">
        <w:rPr>
          <w:szCs w:val="24"/>
        </w:rPr>
        <w:t>punktā norādītās fiziskās infrastruktūras</w:t>
      </w:r>
      <w:r w:rsidR="004E541A" w:rsidRPr="004A40A8">
        <w:rPr>
          <w:rStyle w:val="FootnoteReference"/>
          <w:szCs w:val="24"/>
        </w:rPr>
        <w:footnoteReference w:id="6"/>
      </w:r>
      <w:r w:rsidR="00C2088E" w:rsidRPr="004A40A8">
        <w:rPr>
          <w:szCs w:val="24"/>
        </w:rPr>
        <w:t xml:space="preserve"> nodrošinātāji,</w:t>
      </w:r>
      <w:r w:rsidR="004E541A" w:rsidRPr="004A40A8">
        <w:rPr>
          <w:szCs w:val="24"/>
        </w:rPr>
        <w:t xml:space="preserve"> tostarp</w:t>
      </w:r>
      <w:r w:rsidR="00B53D3E" w:rsidRPr="004A40A8">
        <w:rPr>
          <w:szCs w:val="24"/>
        </w:rPr>
        <w:t xml:space="preserve"> pašvaldības</w:t>
      </w:r>
      <w:r w:rsidR="00C2088E" w:rsidRPr="004A40A8">
        <w:rPr>
          <w:szCs w:val="24"/>
        </w:rPr>
        <w:t xml:space="preserve">, </w:t>
      </w:r>
      <w:r w:rsidR="004E541A" w:rsidRPr="004A40A8">
        <w:rPr>
          <w:szCs w:val="24"/>
        </w:rPr>
        <w:t>tīkla operatori,</w:t>
      </w:r>
      <w:r w:rsidR="00B53D3E" w:rsidRPr="004A40A8">
        <w:rPr>
          <w:szCs w:val="24"/>
        </w:rPr>
        <w:t xml:space="preserve"> kas nodrošina infrastruktūru gāzes, siltumapgādes, ūdensapgādes, e</w:t>
      </w:r>
      <w:r w:rsidR="004E541A" w:rsidRPr="004A40A8">
        <w:rPr>
          <w:szCs w:val="24"/>
        </w:rPr>
        <w:t>lektroapgādes u.c.</w:t>
      </w:r>
      <w:r w:rsidR="00B53D3E" w:rsidRPr="004A40A8">
        <w:rPr>
          <w:szCs w:val="24"/>
        </w:rPr>
        <w:t xml:space="preserve"> jomā), elektronisko sakaru </w:t>
      </w:r>
      <w:r w:rsidR="004E541A" w:rsidRPr="004A40A8">
        <w:rPr>
          <w:szCs w:val="24"/>
        </w:rPr>
        <w:t>komersanti</w:t>
      </w:r>
      <w:r w:rsidR="00B53D3E" w:rsidRPr="004A40A8">
        <w:rPr>
          <w:szCs w:val="24"/>
        </w:rPr>
        <w:t xml:space="preserve"> un publiskās (valsts un pašvaldību) kapitālsabiedrības – kuru rīcībā ir fiksēt</w:t>
      </w:r>
      <w:r w:rsidR="004E541A" w:rsidRPr="004A40A8">
        <w:rPr>
          <w:szCs w:val="24"/>
        </w:rPr>
        <w:t>o</w:t>
      </w:r>
      <w:r w:rsidR="00B53D3E" w:rsidRPr="004A40A8">
        <w:rPr>
          <w:szCs w:val="24"/>
        </w:rPr>
        <w:t xml:space="preserve"> un mobil</w:t>
      </w:r>
      <w:r w:rsidR="004E541A" w:rsidRPr="004A40A8">
        <w:rPr>
          <w:szCs w:val="24"/>
        </w:rPr>
        <w:t>o</w:t>
      </w:r>
      <w:r w:rsidR="00B53D3E" w:rsidRPr="004A40A8">
        <w:rPr>
          <w:szCs w:val="24"/>
        </w:rPr>
        <w:t xml:space="preserve"> platjoslas pakalpojumu sniegšanai piemērota infrastruktūra.</w:t>
      </w:r>
    </w:p>
    <w:p w14:paraId="29A6F52A" w14:textId="77777777" w:rsidR="00623D7D" w:rsidRPr="007A2E40" w:rsidRDefault="00623D7D" w:rsidP="00623D7D">
      <w:pPr>
        <w:spacing w:after="0" w:line="240" w:lineRule="auto"/>
        <w:ind w:firstLine="720"/>
        <w:jc w:val="both"/>
        <w:rPr>
          <w:bCs/>
          <w:szCs w:val="24"/>
        </w:rPr>
      </w:pPr>
      <w:r w:rsidRPr="007A2E40">
        <w:rPr>
          <w:bCs/>
          <w:szCs w:val="24"/>
        </w:rPr>
        <w:t xml:space="preserve">Vadlīnijas neattiecas uz galalietotāju vai operatoru īpašumā esošām tuvas darbības bezvadu piekļuves punktu iekārtām, kuru ekvivalentā </w:t>
      </w:r>
      <w:r w:rsidRPr="007A2E40">
        <w:rPr>
          <w:bCs/>
          <w:noProof/>
          <w:szCs w:val="24"/>
        </w:rPr>
        <w:t xml:space="preserve">izotropiski izstarotā jauda EIRP </w:t>
      </w:r>
      <w:r w:rsidRPr="005E222A">
        <w:rPr>
          <w:bCs/>
          <w:i/>
          <w:iCs/>
          <w:noProof/>
          <w:szCs w:val="24"/>
        </w:rPr>
        <w:t>(Effective Isotropic Radiated Power)</w:t>
      </w:r>
      <w:r w:rsidRPr="007A2E40">
        <w:rPr>
          <w:bCs/>
          <w:noProof/>
          <w:szCs w:val="24"/>
        </w:rPr>
        <w:t xml:space="preserve"> nepārsniedz</w:t>
      </w:r>
      <w:r w:rsidRPr="007A2E40">
        <w:rPr>
          <w:bCs/>
          <w:szCs w:val="24"/>
        </w:rPr>
        <w:t xml:space="preserve"> E0 klasei noteikto lielumu (skat. 1. tabulā).</w:t>
      </w:r>
    </w:p>
    <w:p w14:paraId="0BAE9225" w14:textId="1D7AC836" w:rsidR="00BA4EFA" w:rsidRPr="004A40A8" w:rsidRDefault="00E860E4" w:rsidP="00E40F42">
      <w:pPr>
        <w:spacing w:after="0" w:line="240" w:lineRule="auto"/>
        <w:ind w:firstLine="720"/>
        <w:jc w:val="both"/>
        <w:rPr>
          <w:szCs w:val="24"/>
        </w:rPr>
      </w:pPr>
      <w:r w:rsidRPr="004A40A8">
        <w:rPr>
          <w:szCs w:val="24"/>
        </w:rPr>
        <w:t>Lai nodrošinātu efektīvu šo mērķu sasniegšanu, nepieciešama pilnvērtīga sadarbība starp visām iesaistītajām pusēm, tostarp publiskajām (valsts un pašvaldību) iestādēm, publiskajām un privātajām kapitālsabiedrībām, elektronisko sakaru komersantiem un citām privātajām struktūrām.</w:t>
      </w:r>
    </w:p>
    <w:p w14:paraId="50A6ABE9" w14:textId="6BFA1D1F" w:rsidR="00064C8B" w:rsidRPr="004A40A8" w:rsidRDefault="00064C8B" w:rsidP="00E40F42">
      <w:pPr>
        <w:spacing w:after="0" w:line="240" w:lineRule="auto"/>
        <w:ind w:firstLine="720"/>
        <w:jc w:val="both"/>
        <w:rPr>
          <w:szCs w:val="24"/>
        </w:rPr>
      </w:pPr>
      <w:r w:rsidRPr="004A40A8">
        <w:rPr>
          <w:szCs w:val="24"/>
        </w:rPr>
        <w:t>Vadlīnij</w:t>
      </w:r>
      <w:r w:rsidR="0013348A" w:rsidRPr="004A40A8">
        <w:rPr>
          <w:szCs w:val="24"/>
        </w:rPr>
        <w:t>ās iekļautās rekomendācijas ir vērstas uz</w:t>
      </w:r>
      <w:r w:rsidRPr="004A40A8">
        <w:rPr>
          <w:szCs w:val="24"/>
        </w:rPr>
        <w:t xml:space="preserve"> tuvas darbības bezvadu piekļuves punktu izvēršan</w:t>
      </w:r>
      <w:r w:rsidR="0013348A" w:rsidRPr="004A40A8">
        <w:rPr>
          <w:szCs w:val="24"/>
        </w:rPr>
        <w:t>u</w:t>
      </w:r>
      <w:r w:rsidRPr="004A40A8">
        <w:rPr>
          <w:szCs w:val="24"/>
        </w:rPr>
        <w:t xml:space="preserve">, </w:t>
      </w:r>
      <w:r w:rsidR="00CF3876" w:rsidRPr="004A40A8">
        <w:rPr>
          <w:szCs w:val="24"/>
        </w:rPr>
        <w:t>vienlaikus</w:t>
      </w:r>
      <w:r w:rsidR="00706859" w:rsidRPr="004A40A8">
        <w:rPr>
          <w:szCs w:val="24"/>
        </w:rPr>
        <w:t xml:space="preserve"> tiek</w:t>
      </w:r>
      <w:r w:rsidR="0013348A" w:rsidRPr="004A40A8">
        <w:rPr>
          <w:szCs w:val="24"/>
        </w:rPr>
        <w:t xml:space="preserve"> </w:t>
      </w:r>
      <w:r w:rsidRPr="004A40A8">
        <w:rPr>
          <w:szCs w:val="24"/>
        </w:rPr>
        <w:t>skarti principi citas infrastruktūras izvēršanai, kas saistīt</w:t>
      </w:r>
      <w:r w:rsidR="0013348A" w:rsidRPr="004A40A8">
        <w:rPr>
          <w:szCs w:val="24"/>
        </w:rPr>
        <w:t>a</w:t>
      </w:r>
      <w:r w:rsidRPr="004A40A8">
        <w:rPr>
          <w:szCs w:val="24"/>
        </w:rPr>
        <w:t xml:space="preserve"> ar</w:t>
      </w:r>
      <w:r w:rsidR="00706859" w:rsidRPr="004A40A8">
        <w:rPr>
          <w:szCs w:val="24"/>
        </w:rPr>
        <w:t xml:space="preserve"> ES un</w:t>
      </w:r>
      <w:r w:rsidRPr="004A40A8">
        <w:rPr>
          <w:szCs w:val="24"/>
        </w:rPr>
        <w:t xml:space="preserve"> </w:t>
      </w:r>
      <w:r w:rsidR="00706859" w:rsidRPr="004A40A8">
        <w:rPr>
          <w:szCs w:val="24"/>
        </w:rPr>
        <w:t>n</w:t>
      </w:r>
      <w:r w:rsidRPr="004A40A8">
        <w:rPr>
          <w:szCs w:val="24"/>
        </w:rPr>
        <w:t>acionālo</w:t>
      </w:r>
      <w:r w:rsidR="00706859" w:rsidRPr="004A40A8">
        <w:rPr>
          <w:szCs w:val="24"/>
        </w:rPr>
        <w:t xml:space="preserve"> mērķu sasniegšanu</w:t>
      </w:r>
      <w:r w:rsidRPr="004A40A8">
        <w:rPr>
          <w:szCs w:val="24"/>
        </w:rPr>
        <w:t xml:space="preserve"> </w:t>
      </w:r>
      <w:proofErr w:type="spellStart"/>
      <w:r w:rsidRPr="004A40A8">
        <w:rPr>
          <w:szCs w:val="24"/>
        </w:rPr>
        <w:t>digitalizācijas</w:t>
      </w:r>
      <w:proofErr w:type="spellEnd"/>
      <w:r w:rsidRPr="004A40A8">
        <w:rPr>
          <w:szCs w:val="24"/>
        </w:rPr>
        <w:t xml:space="preserve"> </w:t>
      </w:r>
      <w:r w:rsidR="00706859" w:rsidRPr="004A40A8">
        <w:rPr>
          <w:szCs w:val="24"/>
        </w:rPr>
        <w:t>jomā.</w:t>
      </w:r>
      <w:r w:rsidRPr="004A40A8">
        <w:rPr>
          <w:szCs w:val="24"/>
        </w:rPr>
        <w:t xml:space="preserve"> </w:t>
      </w:r>
    </w:p>
    <w:p w14:paraId="2AAB053A" w14:textId="17AB1217" w:rsidR="00995258" w:rsidRDefault="00995258" w:rsidP="00E40F42">
      <w:pPr>
        <w:spacing w:after="0" w:line="240" w:lineRule="auto"/>
        <w:ind w:firstLine="720"/>
        <w:jc w:val="both"/>
        <w:rPr>
          <w:szCs w:val="24"/>
        </w:rPr>
      </w:pPr>
      <w:r w:rsidRPr="004A40A8">
        <w:rPr>
          <w:rFonts w:eastAsia="Times New Roman" w:cs="Times New Roman"/>
          <w:iCs/>
          <w:szCs w:val="24"/>
          <w:lang w:eastAsia="lv-LV"/>
        </w:rPr>
        <w:t>Vadlīnijas izstrādātas, ņemot vērā saņemtos priekšlikumus no</w:t>
      </w:r>
      <w:r w:rsidR="00AA149F">
        <w:rPr>
          <w:rFonts w:eastAsia="Times New Roman" w:cs="Times New Roman"/>
          <w:iCs/>
          <w:szCs w:val="24"/>
          <w:lang w:eastAsia="lv-LV"/>
        </w:rPr>
        <w:t xml:space="preserve"> elektronisko</w:t>
      </w:r>
      <w:r w:rsidRPr="004A40A8">
        <w:rPr>
          <w:rFonts w:eastAsia="Times New Roman" w:cs="Times New Roman"/>
          <w:iCs/>
          <w:szCs w:val="24"/>
          <w:lang w:eastAsia="lv-LV"/>
        </w:rPr>
        <w:t xml:space="preserve"> sakaru nozares asociācijām </w:t>
      </w:r>
      <w:r w:rsidR="00904C2C">
        <w:rPr>
          <w:rFonts w:eastAsia="Times New Roman" w:cs="Times New Roman"/>
          <w:iCs/>
          <w:szCs w:val="24"/>
          <w:lang w:eastAsia="lv-LV"/>
        </w:rPr>
        <w:t>–</w:t>
      </w:r>
      <w:r w:rsidRPr="004A40A8">
        <w:rPr>
          <w:rFonts w:eastAsia="Times New Roman" w:cs="Times New Roman"/>
          <w:iCs/>
          <w:szCs w:val="24"/>
          <w:lang w:eastAsia="lv-LV"/>
        </w:rPr>
        <w:t xml:space="preserve"> </w:t>
      </w:r>
      <w:r w:rsidRPr="004A40A8">
        <w:rPr>
          <w:szCs w:val="24"/>
        </w:rPr>
        <w:t>Latvijas Informācijas un komunikācijas tehnoloģijas asociācijas (LIKTA), Latvijas Interneta asociācijas (LIA), Latvijas Elektronisko komunikāciju asociācijas (LEKA), kā arī no SIA “</w:t>
      </w:r>
      <w:r w:rsidR="00AA149F">
        <w:rPr>
          <w:szCs w:val="24"/>
        </w:rPr>
        <w:t>E</w:t>
      </w:r>
      <w:r w:rsidRPr="004A40A8">
        <w:rPr>
          <w:szCs w:val="24"/>
        </w:rPr>
        <w:t>lektroniskie sakari”, Ekonomikas ministrijas (EM), Viedās administrācijas un reģionālās attīstības ministrijas (VARAM)</w:t>
      </w:r>
      <w:r w:rsidR="00D713AF">
        <w:rPr>
          <w:szCs w:val="24"/>
        </w:rPr>
        <w:t>,</w:t>
      </w:r>
      <w:r w:rsidRPr="004A40A8">
        <w:rPr>
          <w:szCs w:val="24"/>
        </w:rPr>
        <w:t xml:space="preserve"> Sabiedrisko pakalpojumu regulēšanas komisijas (SPRK)</w:t>
      </w:r>
      <w:r w:rsidR="00D713AF">
        <w:rPr>
          <w:szCs w:val="24"/>
        </w:rPr>
        <w:t xml:space="preserve"> un AS “Sadales tīkls”.</w:t>
      </w:r>
    </w:p>
    <w:p w14:paraId="31A063F0" w14:textId="77777777" w:rsidR="003C4B90" w:rsidRPr="004A40A8" w:rsidRDefault="003C4B90" w:rsidP="00E40F42">
      <w:pPr>
        <w:spacing w:after="0" w:line="240" w:lineRule="auto"/>
        <w:ind w:firstLine="720"/>
        <w:jc w:val="both"/>
        <w:rPr>
          <w:rFonts w:eastAsia="Times New Roman" w:cs="Times New Roman"/>
          <w:iCs/>
          <w:szCs w:val="24"/>
          <w:lang w:eastAsia="lv-LV"/>
        </w:rPr>
      </w:pPr>
    </w:p>
    <w:p w14:paraId="3B17D6B9" w14:textId="05486F4F" w:rsidR="00BF7843" w:rsidRPr="004A40A8" w:rsidRDefault="00176945" w:rsidP="00E40F42">
      <w:pPr>
        <w:pStyle w:val="Heading1"/>
        <w:numPr>
          <w:ilvl w:val="0"/>
          <w:numId w:val="25"/>
        </w:numPr>
        <w:spacing w:before="0" w:after="0" w:line="240" w:lineRule="auto"/>
        <w:rPr>
          <w:rFonts w:ascii="Times New Roman" w:hAnsi="Times New Roman" w:cs="Times New Roman"/>
          <w:b/>
          <w:bCs/>
          <w:color w:val="auto"/>
          <w:sz w:val="24"/>
          <w:szCs w:val="24"/>
        </w:rPr>
      </w:pPr>
      <w:bookmarkStart w:id="1" w:name="_Toc215730727"/>
      <w:r w:rsidRPr="004A40A8">
        <w:rPr>
          <w:rFonts w:ascii="Times New Roman" w:hAnsi="Times New Roman" w:cs="Times New Roman"/>
          <w:b/>
          <w:bCs/>
          <w:color w:val="auto"/>
          <w:sz w:val="24"/>
          <w:szCs w:val="24"/>
        </w:rPr>
        <w:t>Definīcija un tās skaidrojums</w:t>
      </w:r>
      <w:bookmarkEnd w:id="1"/>
    </w:p>
    <w:p w14:paraId="385FC9F4" w14:textId="2473F7F1" w:rsidR="008D36C6" w:rsidRPr="004A40A8" w:rsidRDefault="0060338E" w:rsidP="00E40F42">
      <w:pPr>
        <w:spacing w:after="0" w:line="240" w:lineRule="auto"/>
        <w:ind w:firstLine="720"/>
        <w:jc w:val="both"/>
      </w:pPr>
      <w:bookmarkStart w:id="2" w:name="_Hlk207791651"/>
      <w:r w:rsidRPr="004A40A8">
        <w:rPr>
          <w:b/>
          <w:bCs/>
        </w:rPr>
        <w:t>Tuvas darbības bezvadu piekļuves punkts</w:t>
      </w:r>
      <w:r w:rsidRPr="004A40A8">
        <w:rPr>
          <w:i/>
          <w:iCs/>
        </w:rPr>
        <w:t> </w:t>
      </w:r>
      <w:r w:rsidRPr="004A40A8">
        <w:rPr>
          <w:b/>
          <w:bCs/>
        </w:rPr>
        <w:t xml:space="preserve"> </w:t>
      </w:r>
      <w:r w:rsidR="00706859" w:rsidRPr="004A40A8">
        <w:t xml:space="preserve">ir </w:t>
      </w:r>
      <w:r w:rsidR="008D36C6" w:rsidRPr="004A40A8">
        <w:t>vizuāli neuzkrītoša maza darbības attāluma mazjaudas bezvadu piekļuves iekārta, kura izmanto radiofrekvenču spektru un var būt apgādāta ar vienu vai vairākām antenām un kuru var izmantot kā daļu no publiska elektronisko sakaru tīkla bezvadu piekļuves elektronisko sakaru pakalpojumu sniegšanai</w:t>
      </w:r>
      <w:r w:rsidRPr="004A40A8">
        <w:t xml:space="preserve"> (</w:t>
      </w:r>
      <w:r w:rsidR="00EC5F6C" w:rsidRPr="004A40A8">
        <w:t>s</w:t>
      </w:r>
      <w:r w:rsidRPr="004A40A8">
        <w:t>askaņā ar Elektronisko sakaru likuma (</w:t>
      </w:r>
      <w:r w:rsidR="00437344">
        <w:t>turpmāk </w:t>
      </w:r>
      <w:r w:rsidR="00904C2C">
        <w:t>–</w:t>
      </w:r>
      <w:r w:rsidR="00437344">
        <w:t> </w:t>
      </w:r>
      <w:r w:rsidRPr="004A40A8">
        <w:t>ESL) 1.</w:t>
      </w:r>
      <w:r w:rsidR="00D713AF">
        <w:t> </w:t>
      </w:r>
      <w:r w:rsidRPr="004A40A8">
        <w:t>pant</w:t>
      </w:r>
      <w:r w:rsidR="00EC5F6C" w:rsidRPr="004A40A8">
        <w:t>a</w:t>
      </w:r>
      <w:r w:rsidRPr="004A40A8">
        <w:t xml:space="preserve"> 63.</w:t>
      </w:r>
      <w:r w:rsidR="00D713AF">
        <w:t> </w:t>
      </w:r>
      <w:r w:rsidRPr="004A40A8">
        <w:t>punktu)</w:t>
      </w:r>
      <w:r w:rsidR="005F0293">
        <w:t>.</w:t>
      </w:r>
      <w:r w:rsidRPr="004A40A8">
        <w:t> </w:t>
      </w:r>
    </w:p>
    <w:p w14:paraId="51929868" w14:textId="61FDDAB5" w:rsidR="00891FCF" w:rsidRDefault="00176945" w:rsidP="00E40F42">
      <w:pPr>
        <w:spacing w:after="0" w:line="240" w:lineRule="auto"/>
        <w:ind w:firstLine="720"/>
        <w:jc w:val="both"/>
      </w:pPr>
      <w:r w:rsidRPr="004A40A8">
        <w:t>Tuvas darbības bezvadu piekļuves punkts ir tehnoloģiski neitrāls jēdziens un ietver sevī neliela izmēra bezvad</w:t>
      </w:r>
      <w:r w:rsidR="00706859" w:rsidRPr="004A40A8">
        <w:t>u</w:t>
      </w:r>
      <w:r w:rsidRPr="004A40A8">
        <w:t xml:space="preserve"> piekļuves punkta izvietošanu neatkarīgi no pielietotās tehnoloģijas, piemēram, 5G vai </w:t>
      </w:r>
      <w:r w:rsidRPr="00116B24">
        <w:rPr>
          <w:i/>
          <w:iCs/>
          <w:noProof/>
        </w:rPr>
        <w:t>Wi-Fi</w:t>
      </w:r>
      <w:r w:rsidRPr="004A40A8">
        <w:t xml:space="preserve"> u.c.</w:t>
      </w:r>
      <w:r w:rsidR="00891FCF" w:rsidRPr="004A40A8">
        <w:t xml:space="preserve"> Tuvas darbības bezvadu piekļuves punkti ir </w:t>
      </w:r>
      <w:r w:rsidR="00FA70EE" w:rsidRPr="004A40A8">
        <w:t xml:space="preserve">elektronisko </w:t>
      </w:r>
      <w:r w:rsidR="00891FCF" w:rsidRPr="004A40A8">
        <w:t>sakaru tīkla sastāvdaļa, kas no tehnoloģiskā viedokļa nodrošina piekļuvi ļoti augstas veiktspējas tīklam (turpmāk – ĻAVT)</w:t>
      </w:r>
      <w:r w:rsidR="00904C2C">
        <w:t>, l</w:t>
      </w:r>
      <w:r w:rsidR="00891FCF" w:rsidRPr="004A40A8">
        <w:t>īdz ar to uz to attiecas arī normatīvais regulējums attiecībā uz ļoti augstas veiktspējas elektronisko sakaru tīklu izvēršanas atvieglošanu.</w:t>
      </w:r>
    </w:p>
    <w:p w14:paraId="02DD2F2F" w14:textId="4353F664" w:rsidR="00BC588E" w:rsidRPr="009A229B" w:rsidRDefault="00BC588E" w:rsidP="00E40F42">
      <w:pPr>
        <w:widowControl w:val="0"/>
        <w:spacing w:after="0" w:line="240" w:lineRule="auto"/>
        <w:ind w:firstLine="709"/>
        <w:jc w:val="both"/>
        <w:rPr>
          <w:rFonts w:eastAsia="Calibri" w:cs="Times New Roman"/>
          <w:szCs w:val="24"/>
          <w:shd w:val="clear" w:color="auto" w:fill="FFFFFF"/>
          <w:lang w:eastAsia="lv-LV"/>
        </w:rPr>
      </w:pPr>
      <w:r w:rsidRPr="004A40A8">
        <w:rPr>
          <w:rFonts w:eastAsia="Calibri" w:cs="Times New Roman"/>
          <w:szCs w:val="24"/>
          <w:shd w:val="clear" w:color="auto" w:fill="FFFFFF"/>
          <w:lang w:eastAsia="lv-LV"/>
        </w:rPr>
        <w:lastRenderedPageBreak/>
        <w:t xml:space="preserve">Saskaņā ar </w:t>
      </w:r>
      <w:r w:rsidR="009A229B">
        <w:t>Eiropas k</w:t>
      </w:r>
      <w:r w:rsidR="009A229B" w:rsidRPr="00437344">
        <w:t>omisijas 2020. gada 20. jūlij</w:t>
      </w:r>
      <w:r w:rsidR="009A229B">
        <w:t>a ī</w:t>
      </w:r>
      <w:r w:rsidR="009A229B" w:rsidRPr="00437344">
        <w:t>stenošanas regul</w:t>
      </w:r>
      <w:r w:rsidR="009A229B">
        <w:t>u</w:t>
      </w:r>
      <w:r w:rsidR="009A229B" w:rsidRPr="00437344">
        <w:t xml:space="preserve"> (ES)</w:t>
      </w:r>
      <w:r w:rsidR="009A229B">
        <w:t xml:space="preserve"> Nr. </w:t>
      </w:r>
      <w:r w:rsidR="009A229B" w:rsidRPr="00437344">
        <w:t>2020/1070</w:t>
      </w:r>
      <w:r w:rsidR="009A229B">
        <w:t xml:space="preserve"> </w:t>
      </w:r>
      <w:r w:rsidR="009A229B" w:rsidRPr="00437344">
        <w:t>par tuvas darbības bezvadu piekļuves punktu raksturlielumu precizēšanu saskaņā ar Eiropas Parlamenta un Padomes Direktīvas (ES) 2018/1972 par Eiropas Elektronisko sakaru kodeksa izveidi 57. panta 2. punktu</w:t>
      </w:r>
      <w:r w:rsidR="00437344">
        <w:rPr>
          <w:rStyle w:val="FootnoteReference"/>
          <w:rFonts w:eastAsia="Calibri" w:cs="Times New Roman"/>
          <w:szCs w:val="24"/>
          <w:shd w:val="clear" w:color="auto" w:fill="FFFFFF"/>
          <w:lang w:eastAsia="lv-LV"/>
        </w:rPr>
        <w:footnoteReference w:id="7"/>
      </w:r>
      <w:r w:rsidRPr="004A40A8">
        <w:rPr>
          <w:rFonts w:eastAsia="Calibri" w:cs="Times New Roman"/>
          <w:szCs w:val="24"/>
          <w:shd w:val="clear" w:color="auto" w:fill="FFFFFF"/>
          <w:lang w:eastAsia="lv-LV"/>
        </w:rPr>
        <w:t xml:space="preserve"> </w:t>
      </w:r>
      <w:r w:rsidR="009A229B">
        <w:rPr>
          <w:rFonts w:eastAsia="Calibri" w:cs="Times New Roman"/>
          <w:szCs w:val="24"/>
          <w:shd w:val="clear" w:color="auto" w:fill="FFFFFF"/>
          <w:lang w:eastAsia="lv-LV"/>
        </w:rPr>
        <w:t>(turpmāk – regula Nr. </w:t>
      </w:r>
      <w:r w:rsidR="009A229B" w:rsidRPr="00437344">
        <w:t>2020/1070</w:t>
      </w:r>
      <w:r w:rsidR="009A229B">
        <w:t>)</w:t>
      </w:r>
      <w:r w:rsidR="009A229B">
        <w:rPr>
          <w:rFonts w:eastAsia="Calibri" w:cs="Times New Roman"/>
          <w:szCs w:val="24"/>
          <w:shd w:val="clear" w:color="auto" w:fill="FFFFFF"/>
          <w:lang w:eastAsia="lv-LV"/>
        </w:rPr>
        <w:t xml:space="preserve"> </w:t>
      </w:r>
      <w:r w:rsidRPr="004A40A8">
        <w:rPr>
          <w:rFonts w:eastAsia="Calibri" w:cs="Times New Roman"/>
          <w:szCs w:val="24"/>
          <w:shd w:val="clear" w:color="auto" w:fill="FFFFFF"/>
          <w:lang w:eastAsia="lv-LV"/>
        </w:rPr>
        <w:t xml:space="preserve">tuvas darbības bezvadu piekļuves punktus </w:t>
      </w:r>
      <w:r w:rsidRPr="004A40A8">
        <w:rPr>
          <w:rFonts w:cs="Times New Roman"/>
          <w:szCs w:val="24"/>
          <w:lang w:eastAsia="lv-LV" w:bidi="en-US"/>
        </w:rPr>
        <w:t xml:space="preserve">iedala trīs klasēs </w:t>
      </w:r>
      <w:r w:rsidRPr="004A40A8">
        <w:rPr>
          <w:rFonts w:cs="Times New Roman"/>
          <w:b/>
          <w:bCs/>
          <w:szCs w:val="24"/>
          <w:lang w:eastAsia="lv-LV" w:bidi="en-US"/>
        </w:rPr>
        <w:t>E0</w:t>
      </w:r>
      <w:r w:rsidRPr="004A40A8">
        <w:rPr>
          <w:rFonts w:cs="Times New Roman"/>
          <w:szCs w:val="24"/>
          <w:lang w:eastAsia="lv-LV" w:bidi="en-US"/>
        </w:rPr>
        <w:t xml:space="preserve">, </w:t>
      </w:r>
      <w:r w:rsidRPr="004A40A8">
        <w:rPr>
          <w:rFonts w:cs="Times New Roman"/>
          <w:b/>
          <w:bCs/>
          <w:szCs w:val="24"/>
          <w:lang w:eastAsia="lv-LV" w:bidi="en-US"/>
        </w:rPr>
        <w:t>E2</w:t>
      </w:r>
      <w:r w:rsidRPr="004A40A8">
        <w:rPr>
          <w:rFonts w:cs="Times New Roman"/>
          <w:szCs w:val="24"/>
          <w:lang w:eastAsia="lv-LV" w:bidi="en-US"/>
        </w:rPr>
        <w:t xml:space="preserve"> un </w:t>
      </w:r>
      <w:r w:rsidRPr="004A40A8">
        <w:rPr>
          <w:rFonts w:cs="Times New Roman"/>
          <w:b/>
          <w:bCs/>
          <w:szCs w:val="24"/>
          <w:lang w:eastAsia="lv-LV" w:bidi="en-US"/>
        </w:rPr>
        <w:t>E10</w:t>
      </w:r>
      <w:r w:rsidRPr="004A40A8">
        <w:rPr>
          <w:rFonts w:cs="Times New Roman"/>
          <w:szCs w:val="24"/>
          <w:lang w:eastAsia="lv-LV" w:bidi="en-US"/>
        </w:rPr>
        <w:t>. 1.</w:t>
      </w:r>
      <w:r w:rsidR="00D713AF">
        <w:rPr>
          <w:rFonts w:cs="Times New Roman"/>
          <w:szCs w:val="24"/>
          <w:lang w:eastAsia="lv-LV" w:bidi="en-US"/>
        </w:rPr>
        <w:t> </w:t>
      </w:r>
      <w:r w:rsidRPr="004A40A8">
        <w:rPr>
          <w:rFonts w:cs="Times New Roman"/>
          <w:szCs w:val="24"/>
          <w:lang w:eastAsia="lv-LV" w:bidi="en-US"/>
        </w:rPr>
        <w:t>tabulā ir apkopotas klašu raksturīgās pazīmes</w:t>
      </w:r>
      <w:r>
        <w:rPr>
          <w:rFonts w:cs="Times New Roman"/>
          <w:szCs w:val="24"/>
          <w:lang w:eastAsia="lv-LV" w:bidi="en-US"/>
        </w:rPr>
        <w:t xml:space="preserve">. </w:t>
      </w:r>
    </w:p>
    <w:tbl>
      <w:tblPr>
        <w:tblStyle w:val="TableGrid1"/>
        <w:tblpPr w:leftFromText="180" w:rightFromText="180" w:vertAnchor="text" w:horzAnchor="margin" w:tblpXSpec="center" w:tblpY="421"/>
        <w:tblW w:w="5000" w:type="pct"/>
        <w:tblLook w:val="04A0" w:firstRow="1" w:lastRow="0" w:firstColumn="1" w:lastColumn="0" w:noHBand="0" w:noVBand="1"/>
      </w:tblPr>
      <w:tblGrid>
        <w:gridCol w:w="734"/>
        <w:gridCol w:w="1109"/>
        <w:gridCol w:w="876"/>
        <w:gridCol w:w="1093"/>
        <w:gridCol w:w="1111"/>
        <w:gridCol w:w="859"/>
        <w:gridCol w:w="1112"/>
        <w:gridCol w:w="1402"/>
      </w:tblGrid>
      <w:tr w:rsidR="00BC588E" w:rsidRPr="004A40A8" w14:paraId="4FC2CEE2" w14:textId="77777777" w:rsidTr="00BC588E">
        <w:tc>
          <w:tcPr>
            <w:tcW w:w="455" w:type="pct"/>
            <w:vAlign w:val="center"/>
          </w:tcPr>
          <w:p w14:paraId="7A67DF1C" w14:textId="77777777" w:rsidR="00BC588E" w:rsidRPr="004A40A8" w:rsidRDefault="00BC588E" w:rsidP="00E40F42">
            <w:pPr>
              <w:jc w:val="center"/>
              <w:rPr>
                <w:rFonts w:ascii="Times New Roman" w:hAnsi="Times New Roman"/>
                <w:b/>
                <w:bCs/>
                <w:i/>
                <w:iCs/>
                <w:sz w:val="22"/>
                <w:szCs w:val="22"/>
              </w:rPr>
            </w:pPr>
            <w:r w:rsidRPr="004A40A8">
              <w:rPr>
                <w:rFonts w:ascii="Times New Roman" w:hAnsi="Times New Roman"/>
                <w:b/>
                <w:bCs/>
                <w:i/>
                <w:iCs/>
                <w:sz w:val="22"/>
                <w:szCs w:val="22"/>
              </w:rPr>
              <w:t>Klase</w:t>
            </w:r>
          </w:p>
        </w:tc>
        <w:tc>
          <w:tcPr>
            <w:tcW w:w="681" w:type="pct"/>
            <w:vAlign w:val="center"/>
          </w:tcPr>
          <w:p w14:paraId="7DE7287C" w14:textId="4F649478" w:rsidR="00BC588E" w:rsidRPr="004A40A8" w:rsidRDefault="00BC588E" w:rsidP="00E40F42">
            <w:pPr>
              <w:jc w:val="center"/>
              <w:rPr>
                <w:rFonts w:ascii="Times New Roman" w:hAnsi="Times New Roman"/>
                <w:b/>
                <w:bCs/>
                <w:i/>
                <w:iCs/>
                <w:sz w:val="22"/>
                <w:szCs w:val="22"/>
              </w:rPr>
            </w:pPr>
            <w:r w:rsidRPr="004A40A8">
              <w:rPr>
                <w:rFonts w:ascii="Times New Roman" w:hAnsi="Times New Roman"/>
                <w:b/>
                <w:bCs/>
                <w:i/>
                <w:iCs/>
                <w:sz w:val="22"/>
                <w:szCs w:val="22"/>
              </w:rPr>
              <w:t>Vizuālais</w:t>
            </w:r>
          </w:p>
        </w:tc>
        <w:tc>
          <w:tcPr>
            <w:tcW w:w="531" w:type="pct"/>
            <w:vAlign w:val="center"/>
          </w:tcPr>
          <w:p w14:paraId="280922CC" w14:textId="017BF59C" w:rsidR="00BC588E" w:rsidRPr="004A40A8" w:rsidRDefault="00BC588E" w:rsidP="00E40F42">
            <w:pPr>
              <w:jc w:val="center"/>
              <w:rPr>
                <w:rFonts w:ascii="Times New Roman" w:hAnsi="Times New Roman"/>
                <w:b/>
                <w:bCs/>
                <w:i/>
                <w:iCs/>
                <w:sz w:val="22"/>
                <w:szCs w:val="22"/>
              </w:rPr>
            </w:pPr>
            <w:r w:rsidRPr="004A40A8">
              <w:rPr>
                <w:rFonts w:ascii="Times New Roman" w:hAnsi="Times New Roman"/>
                <w:b/>
                <w:bCs/>
                <w:i/>
                <w:iCs/>
                <w:sz w:val="22"/>
                <w:szCs w:val="22"/>
              </w:rPr>
              <w:t xml:space="preserve">Jauda </w:t>
            </w:r>
            <w:r w:rsidRPr="004A40A8">
              <w:rPr>
                <w:rFonts w:ascii="Times New Roman" w:hAnsi="Times New Roman"/>
                <w:b/>
                <w:bCs/>
                <w:i/>
                <w:iCs/>
                <w:sz w:val="22"/>
                <w:szCs w:val="22"/>
                <w:lang w:eastAsia="lv-LV"/>
              </w:rPr>
              <w:t>(EIRP)</w:t>
            </w:r>
            <w:r w:rsidR="007A2E40">
              <w:rPr>
                <w:rFonts w:ascii="Times New Roman" w:hAnsi="Times New Roman"/>
                <w:b/>
                <w:bCs/>
                <w:i/>
                <w:iCs/>
                <w:sz w:val="22"/>
                <w:szCs w:val="22"/>
                <w:lang w:eastAsia="lv-LV"/>
              </w:rPr>
              <w:t xml:space="preserve"> </w:t>
            </w:r>
          </w:p>
        </w:tc>
        <w:tc>
          <w:tcPr>
            <w:tcW w:w="681" w:type="pct"/>
            <w:vAlign w:val="center"/>
          </w:tcPr>
          <w:p w14:paraId="0188A86E" w14:textId="0B42337A" w:rsidR="00BC588E" w:rsidRPr="004A40A8" w:rsidRDefault="00BC588E" w:rsidP="00E40F42">
            <w:pPr>
              <w:jc w:val="center"/>
              <w:rPr>
                <w:rFonts w:ascii="Times New Roman" w:hAnsi="Times New Roman"/>
                <w:b/>
                <w:bCs/>
                <w:i/>
                <w:iCs/>
                <w:sz w:val="22"/>
                <w:szCs w:val="22"/>
              </w:rPr>
            </w:pPr>
            <w:r w:rsidRPr="004A40A8">
              <w:rPr>
                <w:rFonts w:ascii="Times New Roman" w:hAnsi="Times New Roman"/>
                <w:b/>
                <w:bCs/>
                <w:i/>
                <w:iCs/>
                <w:sz w:val="22"/>
                <w:szCs w:val="22"/>
              </w:rPr>
              <w:t>Zona</w:t>
            </w:r>
          </w:p>
        </w:tc>
        <w:tc>
          <w:tcPr>
            <w:tcW w:w="682" w:type="pct"/>
            <w:vAlign w:val="center"/>
          </w:tcPr>
          <w:p w14:paraId="72B23FE7" w14:textId="77777777" w:rsidR="00BC588E" w:rsidRPr="004A40A8" w:rsidRDefault="00BC588E" w:rsidP="00E40F42">
            <w:pPr>
              <w:jc w:val="center"/>
              <w:rPr>
                <w:rFonts w:ascii="Times New Roman" w:hAnsi="Times New Roman"/>
                <w:b/>
                <w:bCs/>
                <w:i/>
                <w:iCs/>
                <w:sz w:val="22"/>
                <w:szCs w:val="22"/>
              </w:rPr>
            </w:pPr>
            <w:r w:rsidRPr="004A40A8">
              <w:rPr>
                <w:rFonts w:ascii="Times New Roman" w:hAnsi="Times New Roman"/>
                <w:b/>
                <w:bCs/>
                <w:i/>
                <w:iCs/>
                <w:sz w:val="22"/>
                <w:szCs w:val="22"/>
              </w:rPr>
              <w:t>Izmērs</w:t>
            </w:r>
          </w:p>
        </w:tc>
        <w:tc>
          <w:tcPr>
            <w:tcW w:w="530" w:type="pct"/>
            <w:vAlign w:val="center"/>
          </w:tcPr>
          <w:p w14:paraId="3B4A66BF" w14:textId="05BD76E3" w:rsidR="00BC588E" w:rsidRPr="004A40A8" w:rsidRDefault="00BC588E" w:rsidP="00E40F42">
            <w:pPr>
              <w:jc w:val="center"/>
              <w:rPr>
                <w:rFonts w:ascii="Times New Roman" w:hAnsi="Times New Roman"/>
                <w:b/>
                <w:bCs/>
                <w:i/>
                <w:iCs/>
                <w:sz w:val="22"/>
                <w:szCs w:val="22"/>
              </w:rPr>
            </w:pPr>
            <w:r w:rsidRPr="004A40A8">
              <w:rPr>
                <w:rFonts w:ascii="Times New Roman" w:hAnsi="Times New Roman"/>
                <w:b/>
                <w:bCs/>
                <w:i/>
                <w:iCs/>
                <w:sz w:val="22"/>
                <w:szCs w:val="22"/>
              </w:rPr>
              <w:t>Svars</w:t>
            </w:r>
          </w:p>
        </w:tc>
        <w:tc>
          <w:tcPr>
            <w:tcW w:w="682" w:type="pct"/>
            <w:vAlign w:val="center"/>
          </w:tcPr>
          <w:p w14:paraId="30548D12" w14:textId="77777777" w:rsidR="00BC588E" w:rsidRPr="004A40A8" w:rsidRDefault="00BC588E" w:rsidP="00E40F42">
            <w:pPr>
              <w:jc w:val="center"/>
              <w:rPr>
                <w:rFonts w:ascii="Times New Roman" w:hAnsi="Times New Roman"/>
                <w:b/>
                <w:bCs/>
                <w:i/>
                <w:iCs/>
                <w:sz w:val="22"/>
                <w:szCs w:val="22"/>
              </w:rPr>
            </w:pPr>
            <w:r w:rsidRPr="004A40A8">
              <w:rPr>
                <w:rFonts w:ascii="Times New Roman" w:hAnsi="Times New Roman"/>
                <w:b/>
                <w:bCs/>
                <w:i/>
                <w:iCs/>
                <w:sz w:val="22"/>
                <w:szCs w:val="22"/>
              </w:rPr>
              <w:t>Tilpums</w:t>
            </w:r>
          </w:p>
        </w:tc>
        <w:tc>
          <w:tcPr>
            <w:tcW w:w="758" w:type="pct"/>
            <w:vAlign w:val="center"/>
          </w:tcPr>
          <w:p w14:paraId="36B4C3A8" w14:textId="50869258" w:rsidR="00BC588E" w:rsidRPr="004A40A8" w:rsidRDefault="00BC588E" w:rsidP="00E40F42">
            <w:pPr>
              <w:jc w:val="center"/>
              <w:rPr>
                <w:rFonts w:ascii="Times New Roman" w:hAnsi="Times New Roman"/>
                <w:b/>
                <w:bCs/>
                <w:i/>
                <w:iCs/>
                <w:sz w:val="22"/>
                <w:szCs w:val="22"/>
              </w:rPr>
            </w:pPr>
            <w:r w:rsidRPr="004A40A8">
              <w:rPr>
                <w:rFonts w:ascii="Times New Roman" w:hAnsi="Times New Roman"/>
                <w:b/>
                <w:bCs/>
                <w:i/>
                <w:iCs/>
                <w:sz w:val="22"/>
                <w:szCs w:val="22"/>
              </w:rPr>
              <w:t>Uzstādīšanas augstums</w:t>
            </w:r>
          </w:p>
        </w:tc>
      </w:tr>
      <w:tr w:rsidR="00BC588E" w:rsidRPr="004A40A8" w14:paraId="623313A2" w14:textId="77777777" w:rsidTr="00BC588E">
        <w:tc>
          <w:tcPr>
            <w:tcW w:w="455" w:type="pct"/>
            <w:vAlign w:val="center"/>
          </w:tcPr>
          <w:p w14:paraId="7F879F8C" w14:textId="77777777" w:rsidR="00BC588E" w:rsidRPr="004A40A8" w:rsidRDefault="00BC588E" w:rsidP="00E40F42">
            <w:pPr>
              <w:jc w:val="center"/>
              <w:rPr>
                <w:rFonts w:ascii="Times New Roman" w:hAnsi="Times New Roman"/>
                <w:b/>
                <w:bCs/>
                <w:sz w:val="22"/>
                <w:szCs w:val="22"/>
              </w:rPr>
            </w:pPr>
            <w:r w:rsidRPr="004A40A8">
              <w:rPr>
                <w:rFonts w:ascii="Times New Roman" w:hAnsi="Times New Roman"/>
                <w:b/>
                <w:bCs/>
                <w:sz w:val="22"/>
                <w:szCs w:val="22"/>
              </w:rPr>
              <w:t>E0</w:t>
            </w:r>
          </w:p>
        </w:tc>
        <w:tc>
          <w:tcPr>
            <w:tcW w:w="681" w:type="pct"/>
            <w:vAlign w:val="center"/>
          </w:tcPr>
          <w:p w14:paraId="1100A9D6" w14:textId="77777777" w:rsidR="00BC588E" w:rsidRPr="004A40A8" w:rsidRDefault="00BC588E" w:rsidP="00E40F42">
            <w:pPr>
              <w:jc w:val="center"/>
              <w:rPr>
                <w:rFonts w:ascii="Times New Roman" w:hAnsi="Times New Roman"/>
                <w:sz w:val="22"/>
                <w:szCs w:val="22"/>
              </w:rPr>
            </w:pPr>
            <w:r w:rsidRPr="004A40A8">
              <w:rPr>
                <w:rFonts w:ascii="Times New Roman" w:hAnsi="Times New Roman"/>
                <w:sz w:val="22"/>
                <w:szCs w:val="22"/>
              </w:rPr>
              <w:t>Ļoti maza</w:t>
            </w:r>
          </w:p>
        </w:tc>
        <w:tc>
          <w:tcPr>
            <w:tcW w:w="531" w:type="pct"/>
            <w:vAlign w:val="center"/>
          </w:tcPr>
          <w:p w14:paraId="6180207A" w14:textId="77777777" w:rsidR="00BC588E" w:rsidRPr="004A40A8" w:rsidRDefault="00BC588E" w:rsidP="00E40F42">
            <w:pPr>
              <w:jc w:val="center"/>
              <w:rPr>
                <w:rFonts w:ascii="Times New Roman" w:hAnsi="Times New Roman"/>
                <w:sz w:val="22"/>
                <w:szCs w:val="22"/>
              </w:rPr>
            </w:pPr>
            <w:r w:rsidRPr="004A40A8">
              <w:rPr>
                <w:rFonts w:ascii="Times New Roman" w:hAnsi="Times New Roman"/>
                <w:sz w:val="22"/>
                <w:szCs w:val="22"/>
              </w:rPr>
              <w:t>≤1W</w:t>
            </w:r>
          </w:p>
        </w:tc>
        <w:tc>
          <w:tcPr>
            <w:tcW w:w="681" w:type="pct"/>
            <w:vAlign w:val="center"/>
          </w:tcPr>
          <w:p w14:paraId="0B6AC8D5" w14:textId="77777777" w:rsidR="00BC588E" w:rsidRPr="004A40A8" w:rsidRDefault="00BC588E" w:rsidP="00E40F42">
            <w:pPr>
              <w:jc w:val="center"/>
              <w:rPr>
                <w:rFonts w:ascii="Times New Roman" w:hAnsi="Times New Roman"/>
                <w:sz w:val="22"/>
                <w:szCs w:val="22"/>
              </w:rPr>
            </w:pPr>
            <w:r w:rsidRPr="004A40A8">
              <w:rPr>
                <w:rFonts w:ascii="Times New Roman" w:hAnsi="Times New Roman"/>
                <w:sz w:val="22"/>
                <w:szCs w:val="22"/>
              </w:rPr>
              <w:t>Līdz 100m</w:t>
            </w:r>
          </w:p>
        </w:tc>
        <w:tc>
          <w:tcPr>
            <w:tcW w:w="682" w:type="pct"/>
            <w:vAlign w:val="center"/>
          </w:tcPr>
          <w:p w14:paraId="1AA7450F" w14:textId="77777777" w:rsidR="00BC588E" w:rsidRPr="004A40A8" w:rsidRDefault="00BC588E" w:rsidP="00E40F42">
            <w:pPr>
              <w:jc w:val="center"/>
              <w:rPr>
                <w:rFonts w:ascii="Times New Roman" w:hAnsi="Times New Roman"/>
                <w:sz w:val="22"/>
                <w:szCs w:val="22"/>
              </w:rPr>
            </w:pPr>
            <w:r w:rsidRPr="004A40A8">
              <w:rPr>
                <w:rFonts w:ascii="Times New Roman" w:hAnsi="Times New Roman"/>
                <w:sz w:val="22"/>
                <w:szCs w:val="22"/>
              </w:rPr>
              <w:t>Ļoti mazs (līdz 20cm)</w:t>
            </w:r>
          </w:p>
        </w:tc>
        <w:tc>
          <w:tcPr>
            <w:tcW w:w="530" w:type="pct"/>
            <w:vAlign w:val="center"/>
          </w:tcPr>
          <w:p w14:paraId="1E111456" w14:textId="77777777" w:rsidR="00BC588E" w:rsidRPr="004A40A8" w:rsidRDefault="00BC588E" w:rsidP="00E40F42">
            <w:pPr>
              <w:jc w:val="center"/>
              <w:rPr>
                <w:rFonts w:ascii="Times New Roman" w:hAnsi="Times New Roman"/>
                <w:sz w:val="22"/>
                <w:szCs w:val="22"/>
              </w:rPr>
            </w:pPr>
            <w:r w:rsidRPr="004A40A8">
              <w:rPr>
                <w:rFonts w:ascii="Times New Roman" w:hAnsi="Times New Roman"/>
                <w:sz w:val="22"/>
                <w:szCs w:val="22"/>
              </w:rPr>
              <w:t>Līdz 5kg</w:t>
            </w:r>
          </w:p>
        </w:tc>
        <w:tc>
          <w:tcPr>
            <w:tcW w:w="682" w:type="pct"/>
            <w:vAlign w:val="center"/>
          </w:tcPr>
          <w:p w14:paraId="1045F073" w14:textId="77777777" w:rsidR="00BC588E" w:rsidRPr="004A40A8" w:rsidRDefault="00BC588E" w:rsidP="00E40F42">
            <w:pPr>
              <w:jc w:val="center"/>
              <w:rPr>
                <w:rFonts w:ascii="Times New Roman" w:hAnsi="Times New Roman"/>
                <w:sz w:val="22"/>
                <w:szCs w:val="22"/>
              </w:rPr>
            </w:pPr>
            <w:r w:rsidRPr="004A40A8">
              <w:rPr>
                <w:rFonts w:ascii="Times New Roman" w:hAnsi="Times New Roman"/>
                <w:sz w:val="22"/>
                <w:szCs w:val="22"/>
              </w:rPr>
              <w:t>Nav noteikts</w:t>
            </w:r>
          </w:p>
        </w:tc>
        <w:tc>
          <w:tcPr>
            <w:tcW w:w="758" w:type="pct"/>
            <w:vAlign w:val="center"/>
          </w:tcPr>
          <w:p w14:paraId="66263102" w14:textId="77777777" w:rsidR="00BC588E" w:rsidRPr="004A40A8" w:rsidRDefault="00BC588E" w:rsidP="00E40F42">
            <w:pPr>
              <w:jc w:val="center"/>
              <w:rPr>
                <w:rFonts w:ascii="Times New Roman" w:hAnsi="Times New Roman"/>
                <w:sz w:val="22"/>
                <w:szCs w:val="22"/>
              </w:rPr>
            </w:pPr>
            <w:r w:rsidRPr="004A40A8">
              <w:rPr>
                <w:rFonts w:ascii="Times New Roman" w:hAnsi="Times New Roman"/>
                <w:sz w:val="22"/>
                <w:szCs w:val="22"/>
              </w:rPr>
              <w:t>Nav noteikts</w:t>
            </w:r>
          </w:p>
        </w:tc>
      </w:tr>
      <w:tr w:rsidR="00BC588E" w:rsidRPr="004A40A8" w14:paraId="421235F4" w14:textId="77777777" w:rsidTr="00BC588E">
        <w:tc>
          <w:tcPr>
            <w:tcW w:w="455" w:type="pct"/>
            <w:vAlign w:val="center"/>
          </w:tcPr>
          <w:p w14:paraId="5C851BFF" w14:textId="77777777" w:rsidR="00BC588E" w:rsidRPr="004A40A8" w:rsidRDefault="00BC588E" w:rsidP="00E40F42">
            <w:pPr>
              <w:jc w:val="center"/>
              <w:rPr>
                <w:rFonts w:ascii="Times New Roman" w:hAnsi="Times New Roman"/>
                <w:b/>
                <w:bCs/>
                <w:sz w:val="22"/>
                <w:szCs w:val="22"/>
              </w:rPr>
            </w:pPr>
            <w:r w:rsidRPr="004A40A8">
              <w:rPr>
                <w:rFonts w:ascii="Times New Roman" w:hAnsi="Times New Roman"/>
                <w:b/>
                <w:bCs/>
                <w:sz w:val="22"/>
                <w:szCs w:val="22"/>
              </w:rPr>
              <w:t>E2</w:t>
            </w:r>
          </w:p>
        </w:tc>
        <w:tc>
          <w:tcPr>
            <w:tcW w:w="681" w:type="pct"/>
            <w:vAlign w:val="center"/>
          </w:tcPr>
          <w:p w14:paraId="798FDFEC" w14:textId="77777777" w:rsidR="00BC588E" w:rsidRPr="004A40A8" w:rsidRDefault="00BC588E" w:rsidP="00E40F42">
            <w:pPr>
              <w:jc w:val="center"/>
              <w:rPr>
                <w:rFonts w:ascii="Times New Roman" w:hAnsi="Times New Roman"/>
                <w:sz w:val="22"/>
                <w:szCs w:val="22"/>
              </w:rPr>
            </w:pPr>
            <w:r w:rsidRPr="004A40A8">
              <w:rPr>
                <w:rFonts w:ascii="Times New Roman" w:hAnsi="Times New Roman"/>
                <w:sz w:val="22"/>
                <w:szCs w:val="22"/>
              </w:rPr>
              <w:t>Maza</w:t>
            </w:r>
          </w:p>
        </w:tc>
        <w:tc>
          <w:tcPr>
            <w:tcW w:w="531" w:type="pct"/>
            <w:vAlign w:val="center"/>
          </w:tcPr>
          <w:p w14:paraId="1F8E5C38" w14:textId="77777777" w:rsidR="00BC588E" w:rsidRPr="004A40A8" w:rsidRDefault="00BC588E" w:rsidP="00E40F42">
            <w:pPr>
              <w:jc w:val="center"/>
              <w:rPr>
                <w:rFonts w:ascii="Times New Roman" w:hAnsi="Times New Roman"/>
                <w:sz w:val="22"/>
                <w:szCs w:val="22"/>
              </w:rPr>
            </w:pPr>
            <w:r w:rsidRPr="004A40A8">
              <w:rPr>
                <w:rFonts w:ascii="Times New Roman" w:hAnsi="Times New Roman"/>
                <w:sz w:val="22"/>
                <w:szCs w:val="22"/>
              </w:rPr>
              <w:t>≤2W</w:t>
            </w:r>
          </w:p>
        </w:tc>
        <w:tc>
          <w:tcPr>
            <w:tcW w:w="681" w:type="pct"/>
            <w:vAlign w:val="center"/>
          </w:tcPr>
          <w:p w14:paraId="33749102" w14:textId="77777777" w:rsidR="00BC588E" w:rsidRPr="004A40A8" w:rsidRDefault="00BC588E" w:rsidP="00E40F42">
            <w:pPr>
              <w:jc w:val="center"/>
              <w:rPr>
                <w:rFonts w:ascii="Times New Roman" w:hAnsi="Times New Roman"/>
                <w:sz w:val="22"/>
                <w:szCs w:val="22"/>
              </w:rPr>
            </w:pPr>
            <w:r w:rsidRPr="004A40A8">
              <w:rPr>
                <w:rFonts w:ascii="Times New Roman" w:hAnsi="Times New Roman"/>
                <w:sz w:val="22"/>
                <w:szCs w:val="22"/>
              </w:rPr>
              <w:t>Līdz 200m</w:t>
            </w:r>
          </w:p>
        </w:tc>
        <w:tc>
          <w:tcPr>
            <w:tcW w:w="682" w:type="pct"/>
            <w:vAlign w:val="center"/>
          </w:tcPr>
          <w:p w14:paraId="19EBCA34" w14:textId="77777777" w:rsidR="00BC588E" w:rsidRPr="004A40A8" w:rsidRDefault="00BC588E" w:rsidP="00E40F42">
            <w:pPr>
              <w:jc w:val="center"/>
              <w:rPr>
                <w:rFonts w:ascii="Times New Roman" w:hAnsi="Times New Roman"/>
                <w:sz w:val="22"/>
                <w:szCs w:val="22"/>
              </w:rPr>
            </w:pPr>
            <w:r w:rsidRPr="004A40A8">
              <w:rPr>
                <w:rFonts w:ascii="Times New Roman" w:hAnsi="Times New Roman"/>
                <w:sz w:val="22"/>
                <w:szCs w:val="22"/>
              </w:rPr>
              <w:t>Mazs (no 20cm līdz 40cm)</w:t>
            </w:r>
          </w:p>
        </w:tc>
        <w:tc>
          <w:tcPr>
            <w:tcW w:w="530" w:type="pct"/>
            <w:vAlign w:val="center"/>
          </w:tcPr>
          <w:p w14:paraId="05B8E384" w14:textId="77777777" w:rsidR="00BC588E" w:rsidRPr="004A40A8" w:rsidRDefault="00BC588E" w:rsidP="00E40F42">
            <w:pPr>
              <w:jc w:val="center"/>
              <w:rPr>
                <w:rFonts w:ascii="Times New Roman" w:hAnsi="Times New Roman"/>
                <w:sz w:val="22"/>
                <w:szCs w:val="22"/>
              </w:rPr>
            </w:pPr>
            <w:r w:rsidRPr="004A40A8">
              <w:rPr>
                <w:rFonts w:ascii="Times New Roman" w:hAnsi="Times New Roman"/>
                <w:sz w:val="22"/>
                <w:szCs w:val="22"/>
              </w:rPr>
              <w:t>Līdz 20kg</w:t>
            </w:r>
          </w:p>
        </w:tc>
        <w:tc>
          <w:tcPr>
            <w:tcW w:w="682" w:type="pct"/>
            <w:vAlign w:val="center"/>
          </w:tcPr>
          <w:p w14:paraId="20FD0264" w14:textId="77777777" w:rsidR="00BC588E" w:rsidRPr="004A40A8" w:rsidRDefault="00BC588E" w:rsidP="00E40F42">
            <w:pPr>
              <w:jc w:val="center"/>
              <w:rPr>
                <w:rFonts w:ascii="Times New Roman" w:hAnsi="Times New Roman"/>
                <w:sz w:val="22"/>
                <w:szCs w:val="22"/>
              </w:rPr>
            </w:pPr>
            <w:r w:rsidRPr="004A40A8">
              <w:rPr>
                <w:rFonts w:ascii="Times New Roman" w:hAnsi="Times New Roman"/>
                <w:sz w:val="22"/>
                <w:szCs w:val="22"/>
              </w:rPr>
              <w:t>Redzamā daļa līdz 20 litriem</w:t>
            </w:r>
          </w:p>
        </w:tc>
        <w:tc>
          <w:tcPr>
            <w:tcW w:w="758" w:type="pct"/>
            <w:vAlign w:val="center"/>
          </w:tcPr>
          <w:p w14:paraId="25517C17" w14:textId="77777777" w:rsidR="00BC588E" w:rsidRPr="004A40A8" w:rsidRDefault="00BC588E" w:rsidP="00E40F42">
            <w:pPr>
              <w:jc w:val="center"/>
              <w:rPr>
                <w:rFonts w:ascii="Times New Roman" w:hAnsi="Times New Roman"/>
                <w:sz w:val="22"/>
                <w:szCs w:val="22"/>
              </w:rPr>
            </w:pPr>
            <w:r w:rsidRPr="004A40A8">
              <w:rPr>
                <w:rFonts w:ascii="Times New Roman" w:hAnsi="Times New Roman"/>
                <w:sz w:val="22"/>
                <w:szCs w:val="22"/>
              </w:rPr>
              <w:t>Nav noteikts</w:t>
            </w:r>
          </w:p>
        </w:tc>
      </w:tr>
      <w:tr w:rsidR="00BC588E" w:rsidRPr="004A40A8" w14:paraId="67036007" w14:textId="77777777" w:rsidTr="00BC588E">
        <w:tc>
          <w:tcPr>
            <w:tcW w:w="455" w:type="pct"/>
            <w:vAlign w:val="center"/>
          </w:tcPr>
          <w:p w14:paraId="4FACA2F0" w14:textId="77777777" w:rsidR="00BC588E" w:rsidRPr="004A40A8" w:rsidRDefault="00BC588E" w:rsidP="00E40F42">
            <w:pPr>
              <w:jc w:val="center"/>
              <w:rPr>
                <w:rFonts w:ascii="Times New Roman" w:hAnsi="Times New Roman"/>
                <w:b/>
                <w:bCs/>
                <w:sz w:val="22"/>
                <w:szCs w:val="22"/>
              </w:rPr>
            </w:pPr>
            <w:r w:rsidRPr="004A40A8">
              <w:rPr>
                <w:rFonts w:ascii="Times New Roman" w:hAnsi="Times New Roman"/>
                <w:b/>
                <w:bCs/>
                <w:sz w:val="22"/>
                <w:szCs w:val="22"/>
              </w:rPr>
              <w:t>E10</w:t>
            </w:r>
          </w:p>
        </w:tc>
        <w:tc>
          <w:tcPr>
            <w:tcW w:w="681" w:type="pct"/>
            <w:vAlign w:val="center"/>
          </w:tcPr>
          <w:p w14:paraId="2CF3AE1A" w14:textId="77777777" w:rsidR="00BC588E" w:rsidRPr="004A40A8" w:rsidRDefault="00BC588E" w:rsidP="00E40F42">
            <w:pPr>
              <w:jc w:val="center"/>
              <w:rPr>
                <w:rFonts w:ascii="Times New Roman" w:hAnsi="Times New Roman"/>
                <w:sz w:val="22"/>
                <w:szCs w:val="22"/>
              </w:rPr>
            </w:pPr>
            <w:r w:rsidRPr="004A40A8">
              <w:rPr>
                <w:rFonts w:ascii="Times New Roman" w:hAnsi="Times New Roman"/>
                <w:sz w:val="22"/>
                <w:szCs w:val="22"/>
              </w:rPr>
              <w:t>Vidēja</w:t>
            </w:r>
          </w:p>
        </w:tc>
        <w:tc>
          <w:tcPr>
            <w:tcW w:w="531" w:type="pct"/>
            <w:vAlign w:val="center"/>
          </w:tcPr>
          <w:p w14:paraId="1B6AD7EA" w14:textId="77777777" w:rsidR="00BC588E" w:rsidRPr="004A40A8" w:rsidRDefault="00BC588E" w:rsidP="00E40F42">
            <w:pPr>
              <w:jc w:val="center"/>
              <w:rPr>
                <w:rFonts w:ascii="Times New Roman" w:hAnsi="Times New Roman"/>
                <w:sz w:val="22"/>
                <w:szCs w:val="22"/>
              </w:rPr>
            </w:pPr>
            <w:r w:rsidRPr="004A40A8">
              <w:rPr>
                <w:rFonts w:ascii="Times New Roman" w:hAnsi="Times New Roman"/>
                <w:sz w:val="22"/>
                <w:szCs w:val="22"/>
              </w:rPr>
              <w:t>≤10W</w:t>
            </w:r>
          </w:p>
        </w:tc>
        <w:tc>
          <w:tcPr>
            <w:tcW w:w="681" w:type="pct"/>
            <w:vAlign w:val="center"/>
          </w:tcPr>
          <w:p w14:paraId="6CE9F5E2" w14:textId="77777777" w:rsidR="00BC588E" w:rsidRPr="004A40A8" w:rsidRDefault="00BC588E" w:rsidP="00E40F42">
            <w:pPr>
              <w:jc w:val="center"/>
              <w:rPr>
                <w:rFonts w:ascii="Times New Roman" w:hAnsi="Times New Roman"/>
                <w:sz w:val="22"/>
                <w:szCs w:val="22"/>
              </w:rPr>
            </w:pPr>
            <w:r w:rsidRPr="004A40A8">
              <w:rPr>
                <w:rFonts w:ascii="Times New Roman" w:hAnsi="Times New Roman"/>
                <w:sz w:val="22"/>
                <w:szCs w:val="22"/>
              </w:rPr>
              <w:t>Līdz 2km</w:t>
            </w:r>
          </w:p>
        </w:tc>
        <w:tc>
          <w:tcPr>
            <w:tcW w:w="682" w:type="pct"/>
            <w:vAlign w:val="center"/>
          </w:tcPr>
          <w:p w14:paraId="668AE30C" w14:textId="77777777" w:rsidR="00BC588E" w:rsidRPr="004A40A8" w:rsidRDefault="00BC588E" w:rsidP="00E40F42">
            <w:pPr>
              <w:jc w:val="center"/>
              <w:rPr>
                <w:rFonts w:ascii="Times New Roman" w:hAnsi="Times New Roman"/>
                <w:sz w:val="22"/>
                <w:szCs w:val="22"/>
              </w:rPr>
            </w:pPr>
            <w:r w:rsidRPr="004A40A8">
              <w:rPr>
                <w:rFonts w:ascii="Times New Roman" w:hAnsi="Times New Roman"/>
                <w:sz w:val="22"/>
                <w:szCs w:val="22"/>
              </w:rPr>
              <w:t>Vidējs (no 40cm līdz 1m)</w:t>
            </w:r>
          </w:p>
        </w:tc>
        <w:tc>
          <w:tcPr>
            <w:tcW w:w="530" w:type="pct"/>
            <w:vAlign w:val="center"/>
          </w:tcPr>
          <w:p w14:paraId="79353E9D" w14:textId="77777777" w:rsidR="00BC588E" w:rsidRPr="004A40A8" w:rsidRDefault="00BC588E" w:rsidP="00E40F42">
            <w:pPr>
              <w:jc w:val="center"/>
              <w:rPr>
                <w:rFonts w:ascii="Times New Roman" w:hAnsi="Times New Roman"/>
                <w:sz w:val="22"/>
                <w:szCs w:val="22"/>
              </w:rPr>
            </w:pPr>
            <w:r w:rsidRPr="004A40A8">
              <w:rPr>
                <w:rFonts w:ascii="Times New Roman" w:hAnsi="Times New Roman"/>
                <w:sz w:val="22"/>
                <w:szCs w:val="22"/>
              </w:rPr>
              <w:t>Līdz 40kg</w:t>
            </w:r>
          </w:p>
        </w:tc>
        <w:tc>
          <w:tcPr>
            <w:tcW w:w="682" w:type="pct"/>
            <w:vAlign w:val="center"/>
          </w:tcPr>
          <w:p w14:paraId="0AB00586" w14:textId="77777777" w:rsidR="00BC588E" w:rsidRPr="004A40A8" w:rsidRDefault="00BC588E" w:rsidP="00E40F42">
            <w:pPr>
              <w:jc w:val="center"/>
              <w:rPr>
                <w:rFonts w:ascii="Times New Roman" w:hAnsi="Times New Roman"/>
                <w:sz w:val="22"/>
                <w:szCs w:val="22"/>
              </w:rPr>
            </w:pPr>
            <w:r w:rsidRPr="004A40A8">
              <w:rPr>
                <w:rFonts w:ascii="Times New Roman" w:hAnsi="Times New Roman"/>
                <w:sz w:val="22"/>
                <w:szCs w:val="22"/>
              </w:rPr>
              <w:t>Redzamā daļa līdz 30 litriem</w:t>
            </w:r>
          </w:p>
        </w:tc>
        <w:tc>
          <w:tcPr>
            <w:tcW w:w="758" w:type="pct"/>
            <w:vAlign w:val="center"/>
          </w:tcPr>
          <w:p w14:paraId="1DD09C28" w14:textId="77777777" w:rsidR="00BC588E" w:rsidRPr="004A40A8" w:rsidRDefault="00BC588E" w:rsidP="00E40F42">
            <w:pPr>
              <w:jc w:val="center"/>
              <w:rPr>
                <w:rFonts w:ascii="Times New Roman" w:hAnsi="Times New Roman"/>
                <w:sz w:val="22"/>
                <w:szCs w:val="22"/>
              </w:rPr>
            </w:pPr>
            <w:r w:rsidRPr="004A40A8">
              <w:rPr>
                <w:rFonts w:ascii="Times New Roman" w:hAnsi="Times New Roman"/>
                <w:sz w:val="22"/>
                <w:szCs w:val="22"/>
              </w:rPr>
              <w:t>Ne zemāk par 4m</w:t>
            </w:r>
          </w:p>
        </w:tc>
      </w:tr>
    </w:tbl>
    <w:p w14:paraId="61E0E83E" w14:textId="6729F338" w:rsidR="00BC588E" w:rsidRPr="004A40A8" w:rsidRDefault="00BC588E" w:rsidP="00E40F42">
      <w:pPr>
        <w:spacing w:after="0" w:line="240" w:lineRule="auto"/>
        <w:jc w:val="both"/>
      </w:pPr>
      <w:r>
        <w:t xml:space="preserve">1. tabula </w:t>
      </w:r>
    </w:p>
    <w:bookmarkEnd w:id="2"/>
    <w:p w14:paraId="4200D475" w14:textId="77777777" w:rsidR="00D713AF" w:rsidRDefault="00D713AF" w:rsidP="00D713AF">
      <w:pPr>
        <w:pStyle w:val="Heading1"/>
        <w:spacing w:before="0" w:after="0" w:line="240" w:lineRule="auto"/>
        <w:ind w:left="720"/>
        <w:rPr>
          <w:rFonts w:ascii="Times New Roman" w:hAnsi="Times New Roman" w:cs="Times New Roman"/>
          <w:b/>
          <w:bCs/>
          <w:color w:val="auto"/>
          <w:sz w:val="24"/>
          <w:szCs w:val="24"/>
        </w:rPr>
      </w:pPr>
    </w:p>
    <w:p w14:paraId="23A8E2A9" w14:textId="46E45E42" w:rsidR="00675E17" w:rsidRPr="004A40A8" w:rsidRDefault="0021688E" w:rsidP="00E40F42">
      <w:pPr>
        <w:pStyle w:val="Heading1"/>
        <w:numPr>
          <w:ilvl w:val="0"/>
          <w:numId w:val="25"/>
        </w:numPr>
        <w:spacing w:before="0" w:after="0" w:line="240" w:lineRule="auto"/>
        <w:rPr>
          <w:rFonts w:ascii="Times New Roman" w:hAnsi="Times New Roman" w:cs="Times New Roman"/>
          <w:b/>
          <w:bCs/>
          <w:color w:val="auto"/>
          <w:sz w:val="24"/>
          <w:szCs w:val="24"/>
        </w:rPr>
      </w:pPr>
      <w:bookmarkStart w:id="3" w:name="_Toc215730728"/>
      <w:r w:rsidRPr="004A40A8">
        <w:rPr>
          <w:rFonts w:ascii="Times New Roman" w:hAnsi="Times New Roman" w:cs="Times New Roman"/>
          <w:b/>
          <w:bCs/>
          <w:color w:val="auto"/>
          <w:sz w:val="24"/>
          <w:szCs w:val="24"/>
        </w:rPr>
        <w:t>T</w:t>
      </w:r>
      <w:r w:rsidR="00DD131E" w:rsidRPr="004A40A8">
        <w:rPr>
          <w:rFonts w:ascii="Times New Roman" w:hAnsi="Times New Roman" w:cs="Times New Roman"/>
          <w:b/>
          <w:bCs/>
          <w:color w:val="auto"/>
          <w:sz w:val="24"/>
          <w:szCs w:val="24"/>
        </w:rPr>
        <w:t>uvas darbības bezvadu piekļuves punktu reģistr</w:t>
      </w:r>
      <w:r w:rsidR="00891FCF" w:rsidRPr="004A40A8">
        <w:rPr>
          <w:rFonts w:ascii="Times New Roman" w:hAnsi="Times New Roman" w:cs="Times New Roman"/>
          <w:b/>
          <w:bCs/>
          <w:color w:val="auto"/>
          <w:sz w:val="24"/>
          <w:szCs w:val="24"/>
        </w:rPr>
        <w:t>ēšana</w:t>
      </w:r>
      <w:bookmarkEnd w:id="3"/>
    </w:p>
    <w:p w14:paraId="117EA09F" w14:textId="07988284" w:rsidR="00675E17" w:rsidRPr="004A40A8" w:rsidRDefault="00675E17" w:rsidP="00E40F42">
      <w:pPr>
        <w:spacing w:after="0" w:line="240" w:lineRule="auto"/>
        <w:ind w:firstLine="720"/>
        <w:jc w:val="both"/>
      </w:pPr>
      <w:r w:rsidRPr="004A40A8">
        <w:t>Saskaņā ar ESL 6.</w:t>
      </w:r>
      <w:r w:rsidR="00363485" w:rsidRPr="004A40A8">
        <w:t> </w:t>
      </w:r>
      <w:r w:rsidRPr="004A40A8">
        <w:t>panta pirmo daļu</w:t>
      </w:r>
      <w:r w:rsidR="00363485" w:rsidRPr="004A40A8">
        <w:t xml:space="preserve"> </w:t>
      </w:r>
      <w:r w:rsidR="005F0293">
        <w:t>s</w:t>
      </w:r>
      <w:r w:rsidR="00363485" w:rsidRPr="004A40A8">
        <w:t>abiedrība ar ierobežotu atbildību</w:t>
      </w:r>
      <w:r w:rsidRPr="004A40A8">
        <w:t xml:space="preserve"> </w:t>
      </w:r>
      <w:r w:rsidR="00363485" w:rsidRPr="004A40A8">
        <w:t xml:space="preserve"> “</w:t>
      </w:r>
      <w:r w:rsidRPr="004A40A8">
        <w:t>Elektroniskie sakari</w:t>
      </w:r>
      <w:r w:rsidR="00363485" w:rsidRPr="004A40A8">
        <w:t>”</w:t>
      </w:r>
      <w:r w:rsidRPr="004A40A8">
        <w:t xml:space="preserve"> reģistrē tuvas darbības bezvadu piekļuves punktus</w:t>
      </w:r>
      <w:r w:rsidR="00BB35ED" w:rsidRPr="004A40A8">
        <w:t>, ievērojot</w:t>
      </w:r>
      <w:r w:rsidR="00BB35ED" w:rsidRPr="004A40A8">
        <w:rPr>
          <w:b/>
          <w:bCs/>
        </w:rPr>
        <w:t xml:space="preserve"> </w:t>
      </w:r>
      <w:r w:rsidR="00BB35ED" w:rsidRPr="004A40A8">
        <w:t>Ministru kabineta 2023. gada 21. marta noteikumos Nr. 133 “Radiofrekvences piešķīruma lietošanas atļauju noteikumi”</w:t>
      </w:r>
      <w:r w:rsidR="00BB35ED" w:rsidRPr="004A40A8">
        <w:rPr>
          <w:rStyle w:val="FootnoteReference"/>
        </w:rPr>
        <w:footnoteReference w:id="8"/>
      </w:r>
      <w:r w:rsidR="00BB35ED" w:rsidRPr="004A40A8">
        <w:t xml:space="preserve"> noteikto kārtību.</w:t>
      </w:r>
    </w:p>
    <w:p w14:paraId="565C820D" w14:textId="3518E784" w:rsidR="004D7E54" w:rsidRDefault="004D7E54" w:rsidP="00E40F42">
      <w:pPr>
        <w:spacing w:after="0" w:line="240" w:lineRule="auto"/>
        <w:ind w:firstLine="720"/>
        <w:jc w:val="both"/>
      </w:pPr>
      <w:r w:rsidRPr="004A40A8">
        <w:t>Ņemot vērā, ka jēdziens „tuvas darbības bezvadu piekļuves punkts” ESL 1. panta 63. punktā pieļauj samērā plašu interpretāciju, jo šādām pazīmēm atbilst, piemēram, arī galalietotāju lietojamie bezvadu maršrutētāji</w:t>
      </w:r>
      <w:r w:rsidR="00BC588E">
        <w:t xml:space="preserve"> </w:t>
      </w:r>
      <w:r w:rsidRPr="004A40A8">
        <w:t xml:space="preserve">(rūteri), atzīmējams, ka atbilstoši ESL 32. panta trešās daļas prasībām ir jāreģistrē tuvas darbības bezvadu piekļuves punkti, kuru tehniskie parametri atbilst </w:t>
      </w:r>
      <w:r w:rsidR="00895BF2" w:rsidRPr="004A40A8">
        <w:t>regula</w:t>
      </w:r>
      <w:r w:rsidR="009A229B">
        <w:t>s</w:t>
      </w:r>
      <w:r w:rsidR="00895BF2" w:rsidRPr="004A40A8">
        <w:t xml:space="preserve"> </w:t>
      </w:r>
      <w:r w:rsidR="00BC588E">
        <w:t>Nr. </w:t>
      </w:r>
      <w:r w:rsidR="00895BF2" w:rsidRPr="004A40A8">
        <w:t>2020/1070</w:t>
      </w:r>
      <w:r w:rsidR="00895BF2" w:rsidRPr="004A40A8">
        <w:rPr>
          <w:rStyle w:val="FootnoteReference"/>
        </w:rPr>
        <w:footnoteReference w:id="9"/>
      </w:r>
      <w:r w:rsidR="00895BF2" w:rsidRPr="004A40A8">
        <w:t xml:space="preserve"> </w:t>
      </w:r>
      <w:r w:rsidRPr="004A40A8">
        <w:t>3.</w:t>
      </w:r>
      <w:r w:rsidR="007F7257" w:rsidRPr="004A40A8">
        <w:t> </w:t>
      </w:r>
      <w:r w:rsidRPr="004A40A8">
        <w:t>panta 3.</w:t>
      </w:r>
      <w:r w:rsidR="007F7257" w:rsidRPr="004A40A8">
        <w:t> </w:t>
      </w:r>
      <w:r w:rsidRPr="004A40A8">
        <w:t>punkta nosacījumiem</w:t>
      </w:r>
      <w:r w:rsidR="005F05BB" w:rsidRPr="004A40A8">
        <w:t xml:space="preserve"> (proti, atbilst E2 un E10 klasei).</w:t>
      </w:r>
    </w:p>
    <w:p w14:paraId="56AA3A33" w14:textId="77777777" w:rsidR="005F0293" w:rsidRPr="004A40A8" w:rsidRDefault="005F0293" w:rsidP="00E40F42">
      <w:pPr>
        <w:spacing w:after="0" w:line="240" w:lineRule="auto"/>
        <w:ind w:firstLine="720"/>
        <w:jc w:val="both"/>
      </w:pPr>
    </w:p>
    <w:p w14:paraId="27786AAA" w14:textId="77777777" w:rsidR="00675E17" w:rsidRPr="004A40A8" w:rsidRDefault="00DD131E" w:rsidP="00E40F42">
      <w:pPr>
        <w:pStyle w:val="Heading1"/>
        <w:numPr>
          <w:ilvl w:val="0"/>
          <w:numId w:val="25"/>
        </w:numPr>
        <w:spacing w:before="0" w:after="0" w:line="240" w:lineRule="auto"/>
        <w:jc w:val="both"/>
        <w:rPr>
          <w:rFonts w:ascii="Times New Roman" w:hAnsi="Times New Roman" w:cs="Times New Roman"/>
          <w:b/>
          <w:bCs/>
          <w:color w:val="auto"/>
          <w:sz w:val="24"/>
          <w:szCs w:val="24"/>
        </w:rPr>
      </w:pPr>
      <w:r w:rsidRPr="004A40A8">
        <w:rPr>
          <w:rFonts w:ascii="Times New Roman" w:hAnsi="Times New Roman" w:cs="Times New Roman"/>
          <w:b/>
          <w:bCs/>
          <w:color w:val="auto"/>
          <w:sz w:val="24"/>
          <w:szCs w:val="24"/>
        </w:rPr>
        <w:t> </w:t>
      </w:r>
      <w:bookmarkStart w:id="4" w:name="_Toc215730729"/>
      <w:r w:rsidR="008B3D61" w:rsidRPr="004A40A8">
        <w:rPr>
          <w:rFonts w:ascii="Times New Roman" w:hAnsi="Times New Roman" w:cs="Times New Roman"/>
          <w:b/>
          <w:bCs/>
          <w:color w:val="auto"/>
          <w:sz w:val="24"/>
          <w:szCs w:val="24"/>
        </w:rPr>
        <w:t>P</w:t>
      </w:r>
      <w:r w:rsidR="0049582E" w:rsidRPr="004A40A8">
        <w:rPr>
          <w:rFonts w:ascii="Times New Roman" w:hAnsi="Times New Roman" w:cs="Times New Roman"/>
          <w:b/>
          <w:bCs/>
          <w:color w:val="auto"/>
          <w:sz w:val="24"/>
          <w:szCs w:val="24"/>
        </w:rPr>
        <w:t>rasības tuvas darbības bezvadu piekļuves punktu izvietošanai</w:t>
      </w:r>
      <w:bookmarkEnd w:id="4"/>
    </w:p>
    <w:p w14:paraId="060C2447" w14:textId="1C536B51" w:rsidR="00675E17" w:rsidRPr="004A40A8" w:rsidRDefault="00675E17" w:rsidP="00E40F42">
      <w:pPr>
        <w:pStyle w:val="ListParagraph"/>
        <w:spacing w:after="0" w:line="240" w:lineRule="auto"/>
        <w:ind w:left="0"/>
        <w:jc w:val="both"/>
        <w:rPr>
          <w:rFonts w:cs="Times New Roman"/>
          <w:b/>
          <w:bCs/>
          <w:szCs w:val="24"/>
        </w:rPr>
      </w:pPr>
      <w:r w:rsidRPr="004A40A8">
        <w:rPr>
          <w:rFonts w:cs="Times New Roman"/>
          <w:b/>
          <w:bCs/>
          <w:szCs w:val="24"/>
        </w:rPr>
        <w:t>Nosacījumi tuvas darbības bezvadu piekļuves punktu izvietošanai ir ietverti gan ES, gan nacionālā līmeņa normatīv</w:t>
      </w:r>
      <w:r w:rsidR="00BC588E">
        <w:rPr>
          <w:rFonts w:cs="Times New Roman"/>
          <w:b/>
          <w:bCs/>
          <w:szCs w:val="24"/>
        </w:rPr>
        <w:t>ajos aktos:</w:t>
      </w:r>
      <w:r w:rsidRPr="004A40A8">
        <w:rPr>
          <w:rFonts w:cs="Times New Roman"/>
          <w:b/>
          <w:bCs/>
          <w:szCs w:val="24"/>
        </w:rPr>
        <w:t xml:space="preserve"> </w:t>
      </w:r>
    </w:p>
    <w:p w14:paraId="7C39007E" w14:textId="1AF7DA46" w:rsidR="00675E17" w:rsidRPr="00BE05FE" w:rsidRDefault="00675E17" w:rsidP="00E40F42">
      <w:pPr>
        <w:pStyle w:val="ListParagraph"/>
        <w:numPr>
          <w:ilvl w:val="1"/>
          <w:numId w:val="25"/>
        </w:numPr>
        <w:tabs>
          <w:tab w:val="left" w:pos="1134"/>
        </w:tabs>
        <w:spacing w:after="0" w:line="240" w:lineRule="auto"/>
        <w:ind w:left="709" w:firstLine="0"/>
        <w:jc w:val="both"/>
        <w:rPr>
          <w:rFonts w:cs="Times New Roman"/>
          <w:szCs w:val="24"/>
        </w:rPr>
      </w:pPr>
      <w:r w:rsidRPr="00BE05FE">
        <w:rPr>
          <w:rFonts w:cs="Times New Roman"/>
          <w:b/>
          <w:bCs/>
          <w:szCs w:val="24"/>
        </w:rPr>
        <w:t>Gigabitu regula</w:t>
      </w:r>
      <w:r w:rsidRPr="00BE05FE">
        <w:rPr>
          <w:rFonts w:cs="Times New Roman"/>
          <w:szCs w:val="24"/>
        </w:rPr>
        <w:t xml:space="preserve"> </w:t>
      </w:r>
      <w:r w:rsidR="00904C2C">
        <w:rPr>
          <w:rFonts w:cs="Times New Roman"/>
          <w:szCs w:val="24"/>
        </w:rPr>
        <w:t xml:space="preserve">– </w:t>
      </w:r>
      <w:r w:rsidRPr="00BE05FE">
        <w:rPr>
          <w:rFonts w:cs="Times New Roman"/>
          <w:szCs w:val="24"/>
        </w:rPr>
        <w:t>nosaka visaptverošu sistēmu, lai atbalstītu ātrāku un izmaksu</w:t>
      </w:r>
      <w:r w:rsidR="003B42C1" w:rsidRPr="00BE05FE">
        <w:rPr>
          <w:rFonts w:cs="Times New Roman"/>
          <w:szCs w:val="24"/>
        </w:rPr>
        <w:t xml:space="preserve"> </w:t>
      </w:r>
      <w:r w:rsidRPr="00BE05FE">
        <w:rPr>
          <w:rFonts w:cs="Times New Roman"/>
          <w:szCs w:val="24"/>
        </w:rPr>
        <w:t>ziņā efektīvāku ļoti augstas veiktspējas tīklu izvēršanu</w:t>
      </w:r>
      <w:r w:rsidR="007B2C2A" w:rsidRPr="00BE05FE">
        <w:rPr>
          <w:rFonts w:cs="Times New Roman"/>
          <w:szCs w:val="24"/>
        </w:rPr>
        <w:t xml:space="preserve">, </w:t>
      </w:r>
      <w:r w:rsidR="007B2C2A" w:rsidRPr="00BE05FE">
        <w:rPr>
          <w:color w:val="000000" w:themeColor="text1"/>
        </w:rPr>
        <w:t xml:space="preserve">veicinot esošās fiziskās infrastruktūras starpnozaru koplietošanu un </w:t>
      </w:r>
      <w:r w:rsidR="007B2C2A" w:rsidRPr="00BE05FE">
        <w:rPr>
          <w:noProof/>
          <w:color w:val="000000" w:themeColor="text1"/>
        </w:rPr>
        <w:t>pārredzamību,</w:t>
      </w:r>
      <w:r w:rsidR="007B2C2A" w:rsidRPr="00BE05FE">
        <w:rPr>
          <w:color w:val="000000" w:themeColor="text1"/>
        </w:rPr>
        <w:t xml:space="preserve"> uzlabojot inženiertehnisko darbu koordināciju un</w:t>
      </w:r>
      <w:r w:rsidR="007B2C2A" w:rsidRPr="00BE05FE">
        <w:rPr>
          <w:noProof/>
          <w:color w:val="000000" w:themeColor="text1"/>
        </w:rPr>
        <w:t xml:space="preserve"> pārredzamību</w:t>
      </w:r>
      <w:r w:rsidR="007B2C2A" w:rsidRPr="00BE05FE">
        <w:rPr>
          <w:color w:val="000000" w:themeColor="text1"/>
        </w:rPr>
        <w:t xml:space="preserve">, kā arī racionalizējot un </w:t>
      </w:r>
      <w:r w:rsidR="007B2C2A" w:rsidRPr="00BE05FE">
        <w:rPr>
          <w:noProof/>
          <w:color w:val="000000" w:themeColor="text1"/>
        </w:rPr>
        <w:t xml:space="preserve">digitalizējot </w:t>
      </w:r>
      <w:r w:rsidR="007B2C2A" w:rsidRPr="00BE05FE">
        <w:rPr>
          <w:color w:val="000000" w:themeColor="text1"/>
        </w:rPr>
        <w:t>administratīvos procesus, Gigabitu regulas mērķis ir panākt augstas kvalitātes digitālo savienojamību katrā reģionā, veicinot konkurētspējīgu un iekļaujošu digitālo ekonomiku</w:t>
      </w:r>
      <w:r w:rsidR="00BE05FE" w:rsidRPr="00BE05FE">
        <w:rPr>
          <w:color w:val="000000" w:themeColor="text1"/>
        </w:rPr>
        <w:t xml:space="preserve">. </w:t>
      </w:r>
      <w:r w:rsidRPr="00BE05FE">
        <w:rPr>
          <w:rFonts w:cs="Times New Roman"/>
          <w:szCs w:val="24"/>
        </w:rPr>
        <w:t xml:space="preserve">Gigabitu regulā cita starpā ir noteikti arī piekļuves nosacījumi dažāda veida infrastruktūrai </w:t>
      </w:r>
      <w:r w:rsidRPr="004A40A8">
        <w:t>tuvas darbības bezvadu piekļuves punktu izvietošanai.</w:t>
      </w:r>
    </w:p>
    <w:p w14:paraId="69AA82F6" w14:textId="43AC51C4" w:rsidR="00A57141" w:rsidRPr="004A40A8" w:rsidRDefault="00675E17" w:rsidP="00E40F42">
      <w:pPr>
        <w:pStyle w:val="ListParagraph"/>
        <w:numPr>
          <w:ilvl w:val="1"/>
          <w:numId w:val="25"/>
        </w:numPr>
        <w:tabs>
          <w:tab w:val="left" w:pos="993"/>
          <w:tab w:val="left" w:pos="1134"/>
        </w:tabs>
        <w:spacing w:after="0" w:line="240" w:lineRule="auto"/>
        <w:ind w:left="709" w:firstLine="0"/>
        <w:jc w:val="both"/>
        <w:rPr>
          <w:rFonts w:cs="Times New Roman"/>
          <w:szCs w:val="24"/>
        </w:rPr>
      </w:pPr>
      <w:r w:rsidRPr="004A40A8">
        <w:rPr>
          <w:rFonts w:cs="Times New Roman"/>
          <w:b/>
          <w:bCs/>
          <w:szCs w:val="24"/>
        </w:rPr>
        <w:t xml:space="preserve">Komisijas Īstenošanas regula (ES) 2020/1070 par tuvas darbības bezvadu piekļuves punktu raksturlielumu precizēšanu saskaņā ar Eiropas Parlamenta un Padomes Direktīvas (ES) 2018/1972 par Eiropas </w:t>
      </w:r>
      <w:r w:rsidRPr="004A40A8">
        <w:rPr>
          <w:rFonts w:cs="Times New Roman"/>
          <w:b/>
          <w:bCs/>
          <w:szCs w:val="24"/>
        </w:rPr>
        <w:lastRenderedPageBreak/>
        <w:t xml:space="preserve">Elektronisko sakaru kodeksa izveidi 57. panta 2. punktu </w:t>
      </w:r>
      <w:r w:rsidRPr="004A40A8">
        <w:rPr>
          <w:rFonts w:cs="Times New Roman"/>
          <w:szCs w:val="24"/>
        </w:rPr>
        <w:t>– nosaka tuvas darbības bezvadu piekļuves punktu fiziskos un tehniskos raksturlielumus.</w:t>
      </w:r>
      <w:r w:rsidR="007B2C2A" w:rsidRPr="004A40A8">
        <w:rPr>
          <w:rFonts w:cs="Times New Roman"/>
          <w:szCs w:val="24"/>
        </w:rPr>
        <w:t xml:space="preserve"> </w:t>
      </w:r>
    </w:p>
    <w:p w14:paraId="312359C2" w14:textId="5042E350" w:rsidR="00A57141" w:rsidRPr="004A40A8" w:rsidRDefault="00A57141" w:rsidP="00E40F42">
      <w:pPr>
        <w:pStyle w:val="ListParagraph"/>
        <w:numPr>
          <w:ilvl w:val="1"/>
          <w:numId w:val="25"/>
        </w:numPr>
        <w:tabs>
          <w:tab w:val="left" w:pos="993"/>
          <w:tab w:val="left" w:pos="1134"/>
        </w:tabs>
        <w:spacing w:after="0" w:line="240" w:lineRule="auto"/>
        <w:ind w:left="709" w:firstLine="0"/>
        <w:jc w:val="both"/>
        <w:rPr>
          <w:rFonts w:cs="Times New Roman"/>
          <w:szCs w:val="24"/>
        </w:rPr>
      </w:pPr>
      <w:r w:rsidRPr="004A40A8">
        <w:rPr>
          <w:rFonts w:cs="Times New Roman"/>
          <w:szCs w:val="24"/>
        </w:rPr>
        <w:t xml:space="preserve"> </w:t>
      </w:r>
      <w:r w:rsidRPr="004A40A8">
        <w:rPr>
          <w:rFonts w:cs="Times New Roman"/>
          <w:b/>
          <w:bCs/>
          <w:szCs w:val="24"/>
        </w:rPr>
        <w:t>Eiropas Parlamenta un Padomes Direktīva (ES) 2018/1972 par Eiropas Elektronisko sakaru kodeksa izveidi</w:t>
      </w:r>
      <w:r w:rsidRPr="004A40A8">
        <w:rPr>
          <w:rStyle w:val="FootnoteReference"/>
          <w:rFonts w:cs="Times New Roman"/>
          <w:b/>
          <w:bCs/>
          <w:szCs w:val="24"/>
        </w:rPr>
        <w:footnoteReference w:id="10"/>
      </w:r>
      <w:r w:rsidRPr="004A40A8">
        <w:rPr>
          <w:rFonts w:cs="Times New Roman"/>
          <w:szCs w:val="24"/>
        </w:rPr>
        <w:t xml:space="preserve"> – paredz atvieglojumus tuvas darbības bezvadu piekļuves punktu izvēršanai. Kodeksā iekļautās prasības ir transponētas nacionālos normatīvos, pamatā ESL 32</w:t>
      </w:r>
      <w:r w:rsidR="00D713AF">
        <w:rPr>
          <w:rFonts w:cs="Times New Roman"/>
          <w:szCs w:val="24"/>
        </w:rPr>
        <w:t> </w:t>
      </w:r>
      <w:r w:rsidRPr="004A40A8">
        <w:rPr>
          <w:rFonts w:cs="Times New Roman"/>
          <w:szCs w:val="24"/>
        </w:rPr>
        <w:t xml:space="preserve">.pantā.  </w:t>
      </w:r>
    </w:p>
    <w:p w14:paraId="147EA191" w14:textId="1638F5F6" w:rsidR="00675E17" w:rsidRPr="004A40A8" w:rsidRDefault="003B42C1" w:rsidP="00E40F42">
      <w:pPr>
        <w:pStyle w:val="ListParagraph"/>
        <w:numPr>
          <w:ilvl w:val="1"/>
          <w:numId w:val="25"/>
        </w:numPr>
        <w:tabs>
          <w:tab w:val="left" w:pos="993"/>
          <w:tab w:val="left" w:pos="1134"/>
        </w:tabs>
        <w:spacing w:after="0" w:line="240" w:lineRule="auto"/>
        <w:ind w:left="709" w:firstLine="0"/>
        <w:jc w:val="both"/>
        <w:rPr>
          <w:rFonts w:cs="Times New Roman"/>
          <w:szCs w:val="24"/>
        </w:rPr>
      </w:pPr>
      <w:r w:rsidRPr="004A40A8">
        <w:rPr>
          <w:rFonts w:cs="Times New Roman"/>
          <w:b/>
          <w:bCs/>
          <w:szCs w:val="24"/>
        </w:rPr>
        <w:t xml:space="preserve">Elektronisko sakaru likums </w:t>
      </w:r>
      <w:r w:rsidR="00822EA3" w:rsidRPr="004A40A8">
        <w:rPr>
          <w:rFonts w:cs="Times New Roman"/>
          <w:szCs w:val="24"/>
        </w:rPr>
        <w:t>–</w:t>
      </w:r>
      <w:r w:rsidRPr="004A40A8">
        <w:rPr>
          <w:rFonts w:cs="Times New Roman"/>
          <w:szCs w:val="24"/>
        </w:rPr>
        <w:t xml:space="preserve"> </w:t>
      </w:r>
      <w:r w:rsidR="00822EA3" w:rsidRPr="004A40A8">
        <w:rPr>
          <w:rFonts w:cs="Times New Roman"/>
          <w:szCs w:val="24"/>
        </w:rPr>
        <w:t xml:space="preserve">ietver speciālās normas attiecībā uz vispārīgo elektronisko sakaru tīklu būvniecības un ierīkošanas regulējumu, kā arī paredz atvieglojumus tuvas darbības bezvadu piekļuves punktu izvēršanai.  </w:t>
      </w:r>
      <w:r w:rsidR="00675E17" w:rsidRPr="004A40A8">
        <w:rPr>
          <w:rFonts w:cs="Times New Roman"/>
          <w:szCs w:val="24"/>
        </w:rPr>
        <w:t xml:space="preserve"> </w:t>
      </w:r>
    </w:p>
    <w:p w14:paraId="5908FC89" w14:textId="3E28B5A1" w:rsidR="00675E17" w:rsidRPr="004A40A8" w:rsidRDefault="00675E17" w:rsidP="00E40F42">
      <w:pPr>
        <w:pStyle w:val="ListParagraph"/>
        <w:numPr>
          <w:ilvl w:val="1"/>
          <w:numId w:val="25"/>
        </w:numPr>
        <w:tabs>
          <w:tab w:val="left" w:pos="993"/>
          <w:tab w:val="left" w:pos="1134"/>
        </w:tabs>
        <w:spacing w:after="0" w:line="240" w:lineRule="auto"/>
        <w:ind w:left="709" w:firstLine="0"/>
        <w:jc w:val="both"/>
      </w:pPr>
      <w:r w:rsidRPr="004A40A8">
        <w:rPr>
          <w:b/>
          <w:bCs/>
        </w:rPr>
        <w:t>Ministru kabineta 2014.</w:t>
      </w:r>
      <w:r w:rsidR="00D713AF">
        <w:rPr>
          <w:b/>
          <w:bCs/>
        </w:rPr>
        <w:t> </w:t>
      </w:r>
      <w:r w:rsidRPr="004A40A8">
        <w:rPr>
          <w:b/>
          <w:bCs/>
        </w:rPr>
        <w:t>gada 19.</w:t>
      </w:r>
      <w:r w:rsidR="00D713AF">
        <w:rPr>
          <w:b/>
          <w:bCs/>
        </w:rPr>
        <w:t> </w:t>
      </w:r>
      <w:r w:rsidRPr="004A40A8">
        <w:rPr>
          <w:b/>
          <w:bCs/>
        </w:rPr>
        <w:t>augusta noteikumi Nr.</w:t>
      </w:r>
      <w:r w:rsidR="00D713AF">
        <w:rPr>
          <w:b/>
          <w:bCs/>
        </w:rPr>
        <w:t> </w:t>
      </w:r>
      <w:r w:rsidRPr="004A40A8">
        <w:rPr>
          <w:b/>
          <w:bCs/>
        </w:rPr>
        <w:t>501 “Elektronisko sakaru inženierbūvju būvnoteikumi”</w:t>
      </w:r>
      <w:r w:rsidR="005307AF">
        <w:rPr>
          <w:b/>
          <w:bCs/>
        </w:rPr>
        <w:t xml:space="preserve"> (turpmāk – MK noteikumi</w:t>
      </w:r>
      <w:r w:rsidR="00D713AF">
        <w:rPr>
          <w:b/>
          <w:bCs/>
        </w:rPr>
        <w:t xml:space="preserve"> Nr.</w:t>
      </w:r>
      <w:r w:rsidR="005307AF">
        <w:rPr>
          <w:b/>
          <w:bCs/>
        </w:rPr>
        <w:t xml:space="preserve"> 501)</w:t>
      </w:r>
      <w:r w:rsidRPr="004A40A8">
        <w:rPr>
          <w:b/>
          <w:bCs/>
        </w:rPr>
        <w:t xml:space="preserve"> </w:t>
      </w:r>
      <w:r w:rsidR="00EC2684">
        <w:rPr>
          <w:b/>
          <w:bCs/>
        </w:rPr>
        <w:t>–</w:t>
      </w:r>
      <w:r w:rsidRPr="004A40A8">
        <w:rPr>
          <w:b/>
          <w:bCs/>
        </w:rPr>
        <w:t xml:space="preserve"> </w:t>
      </w:r>
      <w:r w:rsidRPr="004A40A8">
        <w:t>nosaka kārtību, kādā plāno un saskaņo tuvas darbības bezvadu piekļuves punktu uzstādīšanu</w:t>
      </w:r>
      <w:r w:rsidR="00EC2684">
        <w:t>.</w:t>
      </w:r>
    </w:p>
    <w:p w14:paraId="48CCEAD6" w14:textId="5D35406D" w:rsidR="00675E17" w:rsidRPr="004A40A8" w:rsidRDefault="00675E17" w:rsidP="00E40F42">
      <w:pPr>
        <w:pStyle w:val="ListParagraph"/>
        <w:numPr>
          <w:ilvl w:val="1"/>
          <w:numId w:val="25"/>
        </w:numPr>
        <w:tabs>
          <w:tab w:val="left" w:pos="993"/>
          <w:tab w:val="left" w:pos="1134"/>
        </w:tabs>
        <w:spacing w:after="0" w:line="240" w:lineRule="auto"/>
        <w:ind w:left="709" w:firstLine="0"/>
        <w:jc w:val="both"/>
      </w:pPr>
      <w:r w:rsidRPr="004A40A8">
        <w:rPr>
          <w:b/>
          <w:bCs/>
        </w:rPr>
        <w:t>Būvniecības likums un Ministru kabineta 2014.</w:t>
      </w:r>
      <w:r w:rsidR="00D713AF">
        <w:rPr>
          <w:b/>
          <w:bCs/>
        </w:rPr>
        <w:t> </w:t>
      </w:r>
      <w:r w:rsidRPr="004A40A8">
        <w:rPr>
          <w:b/>
          <w:bCs/>
        </w:rPr>
        <w:t>gada 19.</w:t>
      </w:r>
      <w:r w:rsidR="00D713AF">
        <w:rPr>
          <w:b/>
          <w:bCs/>
        </w:rPr>
        <w:t> </w:t>
      </w:r>
      <w:r w:rsidRPr="004A40A8">
        <w:rPr>
          <w:b/>
          <w:bCs/>
        </w:rPr>
        <w:t xml:space="preserve">augusta noteikumi Nr. 500 “Vispārīgie būvnoteikumi” </w:t>
      </w:r>
      <w:r w:rsidR="00EC2684" w:rsidRPr="00CC09DD">
        <w:t>–</w:t>
      </w:r>
      <w:r w:rsidRPr="004A40A8">
        <w:rPr>
          <w:b/>
          <w:bCs/>
        </w:rPr>
        <w:t xml:space="preserve"> </w:t>
      </w:r>
      <w:r w:rsidRPr="004A40A8">
        <w:t>nosaka vispārīgo kārtību, kādā plāno un saskaņo būvniecību.</w:t>
      </w:r>
    </w:p>
    <w:p w14:paraId="7859F020" w14:textId="03EC1B39" w:rsidR="00675E17" w:rsidRPr="004A40A8" w:rsidRDefault="00675E17" w:rsidP="00E40F42">
      <w:pPr>
        <w:pStyle w:val="ListParagraph"/>
        <w:numPr>
          <w:ilvl w:val="1"/>
          <w:numId w:val="25"/>
        </w:numPr>
        <w:tabs>
          <w:tab w:val="left" w:pos="993"/>
          <w:tab w:val="left" w:pos="1134"/>
        </w:tabs>
        <w:spacing w:after="0" w:line="240" w:lineRule="auto"/>
        <w:ind w:left="709" w:firstLine="0"/>
        <w:jc w:val="both"/>
      </w:pPr>
      <w:r w:rsidRPr="004A40A8">
        <w:rPr>
          <w:b/>
          <w:bCs/>
        </w:rPr>
        <w:t>MK noteikumi Nr.240 Ministru kabineta 2013.</w:t>
      </w:r>
      <w:r w:rsidR="00D713AF">
        <w:rPr>
          <w:b/>
          <w:bCs/>
        </w:rPr>
        <w:t> </w:t>
      </w:r>
      <w:r w:rsidRPr="004A40A8">
        <w:rPr>
          <w:b/>
          <w:bCs/>
        </w:rPr>
        <w:t>gada 30.</w:t>
      </w:r>
      <w:r w:rsidR="00D713AF">
        <w:rPr>
          <w:b/>
          <w:bCs/>
        </w:rPr>
        <w:t> </w:t>
      </w:r>
      <w:r w:rsidRPr="004A40A8">
        <w:rPr>
          <w:b/>
          <w:bCs/>
        </w:rPr>
        <w:t>aprīļa noteikumi Nr.</w:t>
      </w:r>
      <w:r w:rsidR="00D713AF">
        <w:rPr>
          <w:b/>
          <w:bCs/>
        </w:rPr>
        <w:t> </w:t>
      </w:r>
      <w:r w:rsidRPr="004A40A8">
        <w:rPr>
          <w:b/>
          <w:bCs/>
        </w:rPr>
        <w:t xml:space="preserve">240 “Vispārīgie teritorijas plānošanas, izmantošanas un apbūves noteikumi” </w:t>
      </w:r>
      <w:r w:rsidR="00EC2684" w:rsidRPr="00CC09DD">
        <w:t>–</w:t>
      </w:r>
      <w:r w:rsidR="00EC2684">
        <w:rPr>
          <w:b/>
          <w:bCs/>
        </w:rPr>
        <w:t xml:space="preserve"> </w:t>
      </w:r>
      <w:r w:rsidRPr="004A40A8">
        <w:t>nosaka vispārīgās prasības vietējā līmeņa teritorijas attīstības plānošanai, teritorijas izmantošanai un apbūvei.</w:t>
      </w:r>
    </w:p>
    <w:p w14:paraId="76D10D2F" w14:textId="77777777" w:rsidR="003C4B90" w:rsidRDefault="00675E17" w:rsidP="00E40F42">
      <w:pPr>
        <w:pStyle w:val="ListParagraph"/>
        <w:numPr>
          <w:ilvl w:val="1"/>
          <w:numId w:val="25"/>
        </w:numPr>
        <w:tabs>
          <w:tab w:val="left" w:pos="993"/>
          <w:tab w:val="left" w:pos="1134"/>
        </w:tabs>
        <w:spacing w:after="0" w:line="240" w:lineRule="auto"/>
        <w:ind w:left="709" w:firstLine="0"/>
        <w:jc w:val="both"/>
      </w:pPr>
      <w:r w:rsidRPr="004A40A8">
        <w:rPr>
          <w:b/>
          <w:bCs/>
        </w:rPr>
        <w:t>Teritorijas attīstības plānošanas likums</w:t>
      </w:r>
      <w:r w:rsidRPr="004A40A8">
        <w:t xml:space="preserve"> – noteic vispārīgos principus reģiona ilgtspējīgas attīstības organizēšanas, plānošanas un īstenošanas principus, tajā skaitā, attiecībā uz infrastruktūras attīstības jautājumiem.</w:t>
      </w:r>
    </w:p>
    <w:p w14:paraId="095C2826" w14:textId="47006FE2" w:rsidR="00675E17" w:rsidRPr="004A40A8" w:rsidRDefault="00675E17" w:rsidP="003C4B90">
      <w:pPr>
        <w:pStyle w:val="ListParagraph"/>
        <w:tabs>
          <w:tab w:val="left" w:pos="993"/>
          <w:tab w:val="left" w:pos="1134"/>
        </w:tabs>
        <w:spacing w:after="0" w:line="240" w:lineRule="auto"/>
        <w:ind w:left="709"/>
        <w:jc w:val="both"/>
      </w:pPr>
      <w:r w:rsidRPr="004A40A8">
        <w:t xml:space="preserve"> </w:t>
      </w:r>
    </w:p>
    <w:p w14:paraId="4688310C" w14:textId="48E2CA7C" w:rsidR="00176945" w:rsidRPr="004A40A8" w:rsidRDefault="0049582E" w:rsidP="00E40F42">
      <w:pPr>
        <w:pStyle w:val="Heading1"/>
        <w:numPr>
          <w:ilvl w:val="0"/>
          <w:numId w:val="25"/>
        </w:numPr>
        <w:spacing w:before="0" w:after="0" w:line="240" w:lineRule="auto"/>
        <w:jc w:val="both"/>
        <w:rPr>
          <w:rFonts w:ascii="Times New Roman" w:eastAsia="Calibri" w:hAnsi="Times New Roman" w:cs="Times New Roman"/>
          <w:b/>
          <w:bCs/>
          <w:color w:val="auto"/>
          <w:sz w:val="24"/>
          <w:szCs w:val="24"/>
          <w:shd w:val="clear" w:color="auto" w:fill="FFFFFF"/>
          <w:lang w:eastAsia="lv-LV"/>
        </w:rPr>
      </w:pPr>
      <w:r w:rsidRPr="004A40A8">
        <w:rPr>
          <w:rFonts w:ascii="Times New Roman" w:hAnsi="Times New Roman" w:cs="Times New Roman"/>
          <w:b/>
          <w:bCs/>
          <w:color w:val="auto"/>
          <w:sz w:val="24"/>
          <w:szCs w:val="24"/>
        </w:rPr>
        <w:t xml:space="preserve"> </w:t>
      </w:r>
      <w:r w:rsidR="00675E17" w:rsidRPr="004A40A8">
        <w:rPr>
          <w:rFonts w:ascii="Times New Roman" w:hAnsi="Times New Roman" w:cs="Times New Roman"/>
          <w:b/>
          <w:bCs/>
          <w:color w:val="auto"/>
          <w:sz w:val="24"/>
          <w:szCs w:val="24"/>
        </w:rPr>
        <w:t xml:space="preserve">  </w:t>
      </w:r>
      <w:bookmarkStart w:id="5" w:name="_Toc215730730"/>
      <w:r w:rsidR="00675E17" w:rsidRPr="004A40A8">
        <w:rPr>
          <w:rFonts w:ascii="Times New Roman" w:hAnsi="Times New Roman" w:cs="Times New Roman"/>
          <w:b/>
          <w:bCs/>
          <w:color w:val="auto"/>
          <w:sz w:val="24"/>
          <w:szCs w:val="24"/>
        </w:rPr>
        <w:t xml:space="preserve">Tehniskās prasības </w:t>
      </w:r>
      <w:r w:rsidR="00675E17" w:rsidRPr="004A40A8">
        <w:rPr>
          <w:rFonts w:ascii="Times New Roman" w:eastAsia="Calibri" w:hAnsi="Times New Roman" w:cs="Times New Roman"/>
          <w:b/>
          <w:bCs/>
          <w:color w:val="auto"/>
          <w:sz w:val="24"/>
          <w:szCs w:val="24"/>
          <w:shd w:val="clear" w:color="auto" w:fill="FFFFFF"/>
          <w:lang w:eastAsia="lv-LV"/>
        </w:rPr>
        <w:t>tuvas darbības bezvadu piekļuves punktu uzstādīšanai</w:t>
      </w:r>
      <w:bookmarkEnd w:id="5"/>
    </w:p>
    <w:p w14:paraId="02E14F3C" w14:textId="7DB83994" w:rsidR="00675E17" w:rsidRPr="004A40A8" w:rsidRDefault="003508D9" w:rsidP="0006701F">
      <w:pPr>
        <w:spacing w:after="0" w:line="240" w:lineRule="auto"/>
        <w:jc w:val="both"/>
      </w:pPr>
      <w:r w:rsidRPr="004A40A8">
        <w:tab/>
      </w:r>
      <w:r w:rsidR="00675E17" w:rsidRPr="004A40A8">
        <w:t>Elektronisko sakaru likuma 32.pants noteic prasības tuvas darbības bezvadu piekļuves punktiem ar mērķi mazināt laika, izmaksu un citu administratīvo slogu šādas infrastruktūras izvēršanai</w:t>
      </w:r>
      <w:r w:rsidR="007B2C2A" w:rsidRPr="004A40A8">
        <w:t>:</w:t>
      </w:r>
    </w:p>
    <w:p w14:paraId="30CB44A8" w14:textId="5A3C952F" w:rsidR="00675E17" w:rsidRPr="004A40A8" w:rsidRDefault="00675E17" w:rsidP="00E40F42">
      <w:pPr>
        <w:spacing w:after="0" w:line="240" w:lineRule="auto"/>
        <w:jc w:val="both"/>
      </w:pPr>
      <w:r w:rsidRPr="004A40A8">
        <w:t xml:space="preserve">(1) Operatoram ir tiesības tuvas darbības bezvadu piekļuves punktus, kuru fiziskie un tehniskie parametri atbilst </w:t>
      </w:r>
      <w:r w:rsidR="003E7556">
        <w:rPr>
          <w:rFonts w:eastAsia="Calibri" w:cs="Times New Roman"/>
          <w:szCs w:val="24"/>
          <w:shd w:val="clear" w:color="auto" w:fill="FFFFFF"/>
          <w:lang w:eastAsia="lv-LV"/>
        </w:rPr>
        <w:t>regulas Nr. </w:t>
      </w:r>
      <w:r w:rsidR="003E7556" w:rsidRPr="00437344">
        <w:t>2020/1070</w:t>
      </w:r>
      <w:r w:rsidR="003E7556">
        <w:t xml:space="preserve"> </w:t>
      </w:r>
      <w:r w:rsidRPr="004A40A8">
        <w:t>norādītajiem kritērijiem, izvietot valsts, pašvaldību un privātajā īpašumā, iepriekš saskaņojot to ar attiecīgā nekustamā īpašuma īpašnieku vai tiesisko valdītāju.</w:t>
      </w:r>
    </w:p>
    <w:p w14:paraId="0115B747" w14:textId="77777777" w:rsidR="00675E17" w:rsidRPr="004A40A8" w:rsidRDefault="00675E17" w:rsidP="00E40F42">
      <w:pPr>
        <w:spacing w:after="0" w:line="240" w:lineRule="auto"/>
        <w:jc w:val="both"/>
      </w:pPr>
      <w:r w:rsidRPr="004A40A8">
        <w:t>(2) Operators izvieto tuvas darbības bezvadu piekļuves punktu, ievērojot normatīvos aktus par darba aizsardzību, ugunsdrošību, elektrodrošību, būvniecību un elektronisko sakaru tīklu ierīkošanu.</w:t>
      </w:r>
    </w:p>
    <w:p w14:paraId="3924D4E4" w14:textId="06D79A84" w:rsidR="00675E17" w:rsidRPr="004A40A8" w:rsidRDefault="00675E17" w:rsidP="00E40F42">
      <w:pPr>
        <w:spacing w:after="0" w:line="240" w:lineRule="auto"/>
        <w:jc w:val="both"/>
      </w:pPr>
      <w:r w:rsidRPr="004A40A8">
        <w:t xml:space="preserve">(3) Tuvas darbības bezvadu piekļuves punkta radioiekārtu atļauts izmantot publisko mobilo radiosakaru tīklu darbības nodrošināšanai saskaņā ar nacionālo radiofrekvenču plānu. Operators reģistrē tuvas darbības bezvadu piekļuves punktu </w:t>
      </w:r>
      <w:r w:rsidR="004F1A02">
        <w:t>sabiedrībā ar ierobežotu atbildību</w:t>
      </w:r>
      <w:r w:rsidRPr="004A40A8">
        <w:t xml:space="preserve"> </w:t>
      </w:r>
      <w:r w:rsidR="00065825">
        <w:t>“</w:t>
      </w:r>
      <w:r w:rsidRPr="004A40A8">
        <w:t>Elektroniskie sakari</w:t>
      </w:r>
      <w:r w:rsidR="00065825">
        <w:t>”</w:t>
      </w:r>
      <w:r w:rsidRPr="004A40A8">
        <w:t>.</w:t>
      </w:r>
    </w:p>
    <w:p w14:paraId="55080E36" w14:textId="77777777" w:rsidR="00675E17" w:rsidRPr="0083042D" w:rsidRDefault="00675E17" w:rsidP="00E40F42">
      <w:pPr>
        <w:spacing w:after="0" w:line="240" w:lineRule="auto"/>
        <w:jc w:val="both"/>
      </w:pPr>
      <w:r w:rsidRPr="0083042D">
        <w:t xml:space="preserve">(4) Publiskajām personām un to īpašumā esošajām kapitālsabiedrībām ir pienākums, ievērojot vienlīdzīgus nosacījumus, bez maksas nodrošināt operatoriem piekļuvi jebkurai fiziskajai infrastruktūrai (tai skaitā ielu aprīkojumam (piemēram, apgaismes stabiem, ceļazīmēm, satiksmes </w:t>
      </w:r>
      <w:r w:rsidRPr="0083042D">
        <w:rPr>
          <w:noProof/>
        </w:rPr>
        <w:t>signālgaismām,</w:t>
      </w:r>
      <w:r w:rsidRPr="0083042D">
        <w:t xml:space="preserve"> stendiem, autobusu un tramvaju pieturām un dzelzceļa stacijām)), kas ir tehniski piemērota tuvas darbības bezvadu piekļuves punktu izvietošanai.</w:t>
      </w:r>
    </w:p>
    <w:p w14:paraId="31161BB0" w14:textId="77777777" w:rsidR="00675E17" w:rsidRDefault="00675E17" w:rsidP="00E40F42">
      <w:pPr>
        <w:spacing w:after="0" w:line="240" w:lineRule="auto"/>
        <w:jc w:val="both"/>
      </w:pPr>
      <w:r w:rsidRPr="004A40A8">
        <w:lastRenderedPageBreak/>
        <w:t>(5) Šā panta ceturtajā daļā minētais pienākums neattiecas uz piekļuvi fiziskajai infrastruktūrai, ja tās atrašanās vieta ir saistīta ar valsts aizsardzību vai nacionālo drošību, tai skaitā kritiskās infrastruktūras objektiem. Šajos gadījumos, balstoties uz attiecīgiem apsvērumiem par valsts aizsardzību un nacionālo drošību, lēmumu pieņem kompetentā iestāde valsts aizsardzības vai nacionālās drošības jomā, bet lēmumu par kritiskās infrastruktūras objektu — tā īpašnieks. Lēmuma pieņēmējam atteikums nav jāpamato.</w:t>
      </w:r>
    </w:p>
    <w:p w14:paraId="4FF41B55" w14:textId="3058388C" w:rsidR="00116B24" w:rsidRPr="00116B24" w:rsidRDefault="00116B24" w:rsidP="00592FE9">
      <w:pPr>
        <w:spacing w:after="0" w:line="240" w:lineRule="auto"/>
        <w:ind w:firstLine="720"/>
        <w:jc w:val="both"/>
      </w:pPr>
      <w:bookmarkStart w:id="6" w:name="_Hlk215731928"/>
      <w:r>
        <w:t>Nepieciešamības gadījumā ir izvērtējams</w:t>
      </w:r>
      <w:r w:rsidRPr="00116B24">
        <w:t xml:space="preserve"> konkrēt</w:t>
      </w:r>
      <w:r>
        <w:t>ais</w:t>
      </w:r>
      <w:r w:rsidRPr="00116B24">
        <w:t xml:space="preserve"> gadījum</w:t>
      </w:r>
      <w:r>
        <w:t>s</w:t>
      </w:r>
      <w:r w:rsidRPr="00116B24">
        <w:t>,</w:t>
      </w:r>
      <w:r w:rsidR="00592FE9">
        <w:t xml:space="preserve"> vienlaikus nodrošinot</w:t>
      </w:r>
      <w:r w:rsidRPr="00116B24">
        <w:t xml:space="preserve"> t</w:t>
      </w:r>
      <w:r w:rsidR="00592FE9">
        <w:t>ādus</w:t>
      </w:r>
      <w:r w:rsidRPr="00116B24">
        <w:t xml:space="preserve"> nosacījum</w:t>
      </w:r>
      <w:r w:rsidR="00592FE9">
        <w:t>us</w:t>
      </w:r>
      <w:r w:rsidRPr="00116B24">
        <w:t xml:space="preserve">, kas veicina elektronisko sakaru tīklu attīstību. </w:t>
      </w:r>
      <w:r w:rsidR="00592FE9">
        <w:t>Atzīmējams, ka</w:t>
      </w:r>
      <w:r w:rsidRPr="00116B24">
        <w:t xml:space="preserve"> iekārtu uzstādīšana uz trešās personas nekustamajā īpašumā izvietot</w:t>
      </w:r>
      <w:r w:rsidR="00145A89">
        <w:t>o</w:t>
      </w:r>
      <w:r w:rsidRPr="00116B24">
        <w:t xml:space="preserve"> elektrolīnij</w:t>
      </w:r>
      <w:r w:rsidR="00145A89">
        <w:t>u balstiem</w:t>
      </w:r>
      <w:r w:rsidRPr="00116B24">
        <w:t xml:space="preserve"> </w:t>
      </w:r>
      <w:r w:rsidR="00145A89">
        <w:t>būtu saskaņojama ar</w:t>
      </w:r>
      <w:r w:rsidRPr="00116B24">
        <w:t xml:space="preserve"> attiecīg</w:t>
      </w:r>
      <w:r w:rsidR="00145A89">
        <w:t>o</w:t>
      </w:r>
      <w:r w:rsidRPr="00116B24">
        <w:t xml:space="preserve"> zemes īpašniek</w:t>
      </w:r>
      <w:r w:rsidR="00145A89">
        <w:t>u</w:t>
      </w:r>
      <w:r w:rsidRPr="00116B24">
        <w:t xml:space="preserve">, izņemot Gigabitu </w:t>
      </w:r>
      <w:r w:rsidR="00592FE9">
        <w:t>regulā</w:t>
      </w:r>
      <w:r w:rsidRPr="00116B24">
        <w:t xml:space="preserve"> noteiktos gadījumus.</w:t>
      </w:r>
    </w:p>
    <w:bookmarkEnd w:id="6"/>
    <w:p w14:paraId="5ADD2371" w14:textId="77777777" w:rsidR="00116B24" w:rsidRDefault="00D57F83" w:rsidP="00FC7C5F">
      <w:pPr>
        <w:keepLines/>
        <w:autoSpaceDE w:val="0"/>
        <w:autoSpaceDN w:val="0"/>
        <w:adjustRightInd w:val="0"/>
        <w:spacing w:after="0" w:line="240" w:lineRule="auto"/>
        <w:ind w:firstLine="720"/>
        <w:jc w:val="both"/>
        <w:rPr>
          <w:noProof/>
        </w:rPr>
      </w:pPr>
      <w:r>
        <w:rPr>
          <w:noProof/>
        </w:rPr>
        <w:t>Tuvas darbības bezvadu piekļuves punktu e</w:t>
      </w:r>
      <w:r w:rsidRPr="00CE39FA">
        <w:rPr>
          <w:noProof/>
        </w:rPr>
        <w:t>lektroapgādei</w:t>
      </w:r>
      <w:r>
        <w:rPr>
          <w:noProof/>
        </w:rPr>
        <w:t xml:space="preserve"> parasti</w:t>
      </w:r>
      <w:r w:rsidRPr="00CE39FA">
        <w:rPr>
          <w:noProof/>
        </w:rPr>
        <w:t xml:space="preserve"> ir nepieciešams standarta pieslēgums (16A, 0,4KW), </w:t>
      </w:r>
      <w:r>
        <w:rPr>
          <w:noProof/>
        </w:rPr>
        <w:t>bet</w:t>
      </w:r>
      <w:r w:rsidRPr="00CE39FA">
        <w:rPr>
          <w:noProof/>
        </w:rPr>
        <w:t xml:space="preserve"> datu p</w:t>
      </w:r>
      <w:r>
        <w:rPr>
          <w:noProof/>
        </w:rPr>
        <w:t>lūsmas nodrošināšanai</w:t>
      </w:r>
      <w:r w:rsidRPr="00CE39FA">
        <w:rPr>
          <w:noProof/>
        </w:rPr>
        <w:t xml:space="preserve"> – optiskā</w:t>
      </w:r>
      <w:r>
        <w:rPr>
          <w:noProof/>
        </w:rPr>
        <w:t xml:space="preserve"> tīkla</w:t>
      </w:r>
      <w:r w:rsidRPr="00CE39FA">
        <w:rPr>
          <w:noProof/>
        </w:rPr>
        <w:t xml:space="preserve"> pieslēgums</w:t>
      </w:r>
      <w:r>
        <w:rPr>
          <w:noProof/>
        </w:rPr>
        <w:t xml:space="preserve"> </w:t>
      </w:r>
      <w:r w:rsidRPr="00CE39FA">
        <w:rPr>
          <w:noProof/>
        </w:rPr>
        <w:t>(</w:t>
      </w:r>
      <w:r>
        <w:rPr>
          <w:noProof/>
        </w:rPr>
        <w:t xml:space="preserve">ar datu pārraides ātrumu </w:t>
      </w:r>
      <w:r w:rsidRPr="00CE39FA">
        <w:rPr>
          <w:noProof/>
        </w:rPr>
        <w:t>vismaz 1 G</w:t>
      </w:r>
      <w:r>
        <w:rPr>
          <w:noProof/>
        </w:rPr>
        <w:t>bit/s</w:t>
      </w:r>
      <w:r w:rsidR="00E940D9">
        <w:rPr>
          <w:noProof/>
        </w:rPr>
        <w:t>,</w:t>
      </w:r>
      <w:r w:rsidRPr="00CE39FA">
        <w:rPr>
          <w:noProof/>
        </w:rPr>
        <w:t xml:space="preserve"> Ethernet).</w:t>
      </w:r>
    </w:p>
    <w:p w14:paraId="4B307737" w14:textId="273A8B12" w:rsidR="00675E17" w:rsidRPr="004A40A8" w:rsidRDefault="00D57F83" w:rsidP="00592FE9">
      <w:pPr>
        <w:keepLines/>
        <w:autoSpaceDE w:val="0"/>
        <w:autoSpaceDN w:val="0"/>
        <w:adjustRightInd w:val="0"/>
        <w:spacing w:after="0" w:line="240" w:lineRule="auto"/>
        <w:ind w:firstLine="720"/>
        <w:jc w:val="both"/>
        <w:rPr>
          <w:b/>
          <w:bCs/>
          <w:noProof/>
        </w:rPr>
      </w:pPr>
      <w:r w:rsidRPr="00CE39FA">
        <w:rPr>
          <w:noProof/>
        </w:rPr>
        <w:t xml:space="preserve"> </w:t>
      </w:r>
    </w:p>
    <w:p w14:paraId="292E3981" w14:textId="69CAB380" w:rsidR="00675E17" w:rsidRPr="004A40A8" w:rsidRDefault="00E40F42" w:rsidP="00E40F42">
      <w:pPr>
        <w:spacing w:after="0" w:line="240" w:lineRule="auto"/>
        <w:ind w:firstLine="720"/>
        <w:jc w:val="both"/>
        <w:rPr>
          <w:rFonts w:eastAsia="Calibri" w:cs="Times New Roman"/>
          <w:szCs w:val="24"/>
          <w:shd w:val="clear" w:color="auto" w:fill="FFFFFF"/>
          <w:lang w:eastAsia="lv-LV"/>
        </w:rPr>
      </w:pPr>
      <w:r w:rsidRPr="004A40A8">
        <w:rPr>
          <w:rFonts w:eastAsia="Calibri" w:cs="Times New Roman"/>
          <w:b/>
          <w:bCs/>
          <w:szCs w:val="24"/>
          <w:shd w:val="clear" w:color="auto" w:fill="FFFFFF"/>
          <w:lang w:eastAsia="lv-LV"/>
        </w:rPr>
        <w:t>E0 klasei</w:t>
      </w:r>
      <w:r>
        <w:rPr>
          <w:rFonts w:eastAsia="Calibri" w:cs="Times New Roman"/>
          <w:szCs w:val="24"/>
          <w:shd w:val="clear" w:color="auto" w:fill="FFFFFF"/>
          <w:lang w:eastAsia="lv-LV"/>
        </w:rPr>
        <w:t xml:space="preserve"> </w:t>
      </w:r>
      <w:r w:rsidRPr="004A40A8">
        <w:rPr>
          <w:rFonts w:eastAsia="Calibri" w:cs="Times New Roman"/>
          <w:szCs w:val="24"/>
          <w:shd w:val="clear" w:color="auto" w:fill="FFFFFF"/>
          <w:lang w:eastAsia="lv-LV"/>
        </w:rPr>
        <w:t>atbilstoš</w:t>
      </w:r>
      <w:r>
        <w:rPr>
          <w:rFonts w:eastAsia="Calibri" w:cs="Times New Roman"/>
          <w:szCs w:val="24"/>
          <w:shd w:val="clear" w:color="auto" w:fill="FFFFFF"/>
          <w:lang w:eastAsia="lv-LV"/>
        </w:rPr>
        <w:t>o tuvas darbības bezvadu</w:t>
      </w:r>
      <w:r w:rsidRPr="004A40A8">
        <w:rPr>
          <w:rFonts w:eastAsia="Calibri" w:cs="Times New Roman"/>
          <w:szCs w:val="24"/>
          <w:shd w:val="clear" w:color="auto" w:fill="FFFFFF"/>
          <w:lang w:eastAsia="lv-LV"/>
        </w:rPr>
        <w:t xml:space="preserve"> piekļuves punkt</w:t>
      </w:r>
      <w:r>
        <w:rPr>
          <w:rFonts w:eastAsia="Calibri" w:cs="Times New Roman"/>
          <w:szCs w:val="24"/>
          <w:shd w:val="clear" w:color="auto" w:fill="FFFFFF"/>
          <w:lang w:eastAsia="lv-LV"/>
        </w:rPr>
        <w:t xml:space="preserve">u </w:t>
      </w:r>
      <w:r w:rsidR="00675E17" w:rsidRPr="004A40A8">
        <w:rPr>
          <w:rFonts w:eastAsia="Calibri" w:cs="Times New Roman"/>
          <w:szCs w:val="24"/>
          <w:shd w:val="clear" w:color="auto" w:fill="FFFFFF"/>
          <w:lang w:eastAsia="lv-LV"/>
        </w:rPr>
        <w:t>izvietošan</w:t>
      </w:r>
      <w:r w:rsidR="00EC2684">
        <w:rPr>
          <w:rFonts w:eastAsia="Calibri" w:cs="Times New Roman"/>
          <w:szCs w:val="24"/>
          <w:shd w:val="clear" w:color="auto" w:fill="FFFFFF"/>
          <w:lang w:eastAsia="lv-LV"/>
        </w:rPr>
        <w:t>ai</w:t>
      </w:r>
      <w:r w:rsidR="00675E17" w:rsidRPr="004A40A8">
        <w:rPr>
          <w:rFonts w:eastAsia="Calibri" w:cs="Times New Roman"/>
          <w:szCs w:val="24"/>
          <w:shd w:val="clear" w:color="auto" w:fill="FFFFFF"/>
          <w:lang w:eastAsia="lv-LV"/>
        </w:rPr>
        <w:t xml:space="preserve"> būvniecības ierobežojumi vai nosacījumi uzstādīšanai n</w:t>
      </w:r>
      <w:r w:rsidR="009B72B6" w:rsidRPr="004A40A8">
        <w:rPr>
          <w:rFonts w:eastAsia="Calibri" w:cs="Times New Roman"/>
          <w:szCs w:val="24"/>
          <w:shd w:val="clear" w:color="auto" w:fill="FFFFFF"/>
          <w:lang w:eastAsia="lv-LV"/>
        </w:rPr>
        <w:t>av</w:t>
      </w:r>
      <w:r w:rsidR="00675E17" w:rsidRPr="004A40A8">
        <w:rPr>
          <w:rFonts w:eastAsia="Calibri" w:cs="Times New Roman"/>
          <w:szCs w:val="24"/>
          <w:shd w:val="clear" w:color="auto" w:fill="FFFFFF"/>
          <w:lang w:eastAsia="lv-LV"/>
        </w:rPr>
        <w:t xml:space="preserve"> piemērojami, tā kā šīs iekārtas ir samērojamas ar šobrīd plaši lietotajiem </w:t>
      </w:r>
      <w:r w:rsidR="00675E17" w:rsidRPr="004A40A8">
        <w:rPr>
          <w:rFonts w:eastAsia="Calibri" w:cs="Times New Roman"/>
          <w:noProof/>
          <w:szCs w:val="24"/>
          <w:shd w:val="clear" w:color="auto" w:fill="FFFFFF"/>
          <w:lang w:eastAsia="lv-LV"/>
        </w:rPr>
        <w:t>Wi-Fi tehnoloģijas</w:t>
      </w:r>
      <w:r w:rsidR="00675E17" w:rsidRPr="004A40A8">
        <w:rPr>
          <w:rFonts w:eastAsia="Calibri" w:cs="Times New Roman"/>
          <w:szCs w:val="24"/>
          <w:shd w:val="clear" w:color="auto" w:fill="FFFFFF"/>
          <w:lang w:eastAsia="lv-LV"/>
        </w:rPr>
        <w:t xml:space="preserve"> piekļuves punktiem, kuriem uzstādīšanas ierobežojumi arī netiek piemēroti.</w:t>
      </w:r>
    </w:p>
    <w:p w14:paraId="6D60C966" w14:textId="722C643D" w:rsidR="00675E17" w:rsidRPr="00333EB4" w:rsidRDefault="00675E17" w:rsidP="00E40F42">
      <w:pPr>
        <w:spacing w:after="0" w:line="240" w:lineRule="auto"/>
        <w:ind w:firstLine="720"/>
        <w:jc w:val="both"/>
        <w:rPr>
          <w:rFonts w:cs="Times New Roman"/>
          <w:szCs w:val="24"/>
          <w:lang w:eastAsia="lv-LV" w:bidi="en-US"/>
        </w:rPr>
      </w:pPr>
      <w:r w:rsidRPr="004A40A8">
        <w:rPr>
          <w:rFonts w:eastAsia="Calibri" w:cs="Times New Roman"/>
          <w:szCs w:val="24"/>
          <w:shd w:val="clear" w:color="auto" w:fill="FFFFFF"/>
          <w:lang w:eastAsia="lv-LV"/>
        </w:rPr>
        <w:t>Attiecībā uz tuvas darbības bezvadu piekļuves punktu izvietošanu</w:t>
      </w:r>
      <w:r w:rsidRPr="004A40A8">
        <w:rPr>
          <w:rFonts w:cs="Times New Roman"/>
          <w:szCs w:val="24"/>
          <w:lang w:eastAsia="lv-LV" w:bidi="en-US"/>
        </w:rPr>
        <w:t xml:space="preserve"> </w:t>
      </w:r>
      <w:r w:rsidRPr="004A40A8">
        <w:rPr>
          <w:rFonts w:cs="Times New Roman"/>
          <w:b/>
          <w:bCs/>
          <w:szCs w:val="24"/>
          <w:lang w:eastAsia="lv-LV" w:bidi="en-US"/>
        </w:rPr>
        <w:t>E2</w:t>
      </w:r>
      <w:r w:rsidRPr="004A40A8">
        <w:rPr>
          <w:rFonts w:cs="Times New Roman"/>
          <w:szCs w:val="24"/>
          <w:lang w:eastAsia="lv-LV" w:bidi="en-US"/>
        </w:rPr>
        <w:t xml:space="preserve"> un </w:t>
      </w:r>
      <w:r w:rsidRPr="004A40A8">
        <w:rPr>
          <w:rFonts w:cs="Times New Roman"/>
          <w:b/>
          <w:bCs/>
          <w:szCs w:val="24"/>
          <w:lang w:eastAsia="lv-LV" w:bidi="en-US"/>
        </w:rPr>
        <w:t>E10</w:t>
      </w:r>
      <w:r w:rsidRPr="004A40A8">
        <w:rPr>
          <w:rFonts w:cs="Times New Roman"/>
          <w:szCs w:val="24"/>
          <w:lang w:eastAsia="lv-LV" w:bidi="en-US"/>
        </w:rPr>
        <w:t xml:space="preserve"> atbilstošo iekārtu tehniskie parametri, proti, svars, izmērs un izstarotā jauda paredzams būs daudz lielāki, salīdzinot ar </w:t>
      </w:r>
      <w:r w:rsidRPr="004A40A8">
        <w:rPr>
          <w:rFonts w:cs="Times New Roman"/>
          <w:b/>
          <w:bCs/>
          <w:szCs w:val="24"/>
          <w:lang w:eastAsia="lv-LV" w:bidi="en-US"/>
        </w:rPr>
        <w:t>E0</w:t>
      </w:r>
      <w:r w:rsidRPr="004A40A8">
        <w:rPr>
          <w:rFonts w:cs="Times New Roman"/>
          <w:szCs w:val="24"/>
          <w:lang w:eastAsia="lv-LV" w:bidi="en-US"/>
        </w:rPr>
        <w:t xml:space="preserve"> klases iekārtām, kā arī pašas iekārtas būs vizuāli pamanāmākas</w:t>
      </w:r>
      <w:r w:rsidRPr="00333EB4">
        <w:rPr>
          <w:rFonts w:cs="Times New Roman"/>
          <w:szCs w:val="24"/>
          <w:lang w:eastAsia="lv-LV" w:bidi="en-US"/>
        </w:rPr>
        <w:t xml:space="preserve">. </w:t>
      </w:r>
      <w:r w:rsidRPr="00333EB4">
        <w:rPr>
          <w:rFonts w:eastAsia="Aptos" w:cs="Times New Roman"/>
          <w:szCs w:val="24"/>
        </w:rPr>
        <w:t>Līdzšinēji praksē nav bijusi</w:t>
      </w:r>
      <w:r w:rsidR="00E940D9">
        <w:rPr>
          <w:rFonts w:eastAsia="Aptos" w:cs="Times New Roman"/>
          <w:szCs w:val="24"/>
        </w:rPr>
        <w:t xml:space="preserve"> liela</w:t>
      </w:r>
      <w:r w:rsidRPr="00333EB4">
        <w:rPr>
          <w:rFonts w:eastAsia="Aptos" w:cs="Times New Roman"/>
          <w:szCs w:val="24"/>
        </w:rPr>
        <w:t xml:space="preserve"> pieredze šādu iekārtu ierīkošanā, tāpēc šobrīd vēl nav pilnībā skaidri </w:t>
      </w:r>
      <w:r w:rsidRPr="00333EB4">
        <w:rPr>
          <w:rFonts w:eastAsia="Calibri" w:cs="Times New Roman"/>
          <w:szCs w:val="24"/>
          <w:shd w:val="clear" w:color="auto" w:fill="FFFFFF"/>
          <w:lang w:eastAsia="lv-LV"/>
        </w:rPr>
        <w:t xml:space="preserve">tuvas darbības bezvadu piekļuves punktu izvietošanas </w:t>
      </w:r>
      <w:r w:rsidRPr="00333EB4">
        <w:rPr>
          <w:rFonts w:eastAsia="Aptos" w:cs="Times New Roman"/>
          <w:szCs w:val="24"/>
        </w:rPr>
        <w:t>tehniskie risinājumi.</w:t>
      </w:r>
    </w:p>
    <w:p w14:paraId="351B4F75" w14:textId="321465EE" w:rsidR="00675E17" w:rsidRPr="00AF2F6C" w:rsidRDefault="00675E17" w:rsidP="00333EB4">
      <w:pPr>
        <w:spacing w:after="0" w:line="240" w:lineRule="auto"/>
        <w:ind w:firstLine="720"/>
        <w:jc w:val="both"/>
        <w:rPr>
          <w:rFonts w:cs="Times New Roman"/>
          <w:szCs w:val="24"/>
        </w:rPr>
      </w:pPr>
      <w:r w:rsidRPr="00AF2F6C">
        <w:rPr>
          <w:rFonts w:cs="Times New Roman"/>
          <w:szCs w:val="24"/>
          <w:lang w:eastAsia="lv-LV" w:bidi="en-US"/>
        </w:rPr>
        <w:t xml:space="preserve">Ņemot vērā iepriekš minēto, </w:t>
      </w:r>
      <w:r w:rsidR="00AF2F6C" w:rsidRPr="00AF2F6C">
        <w:rPr>
          <w:rFonts w:cs="Times New Roman"/>
          <w:szCs w:val="24"/>
          <w:lang w:eastAsia="lv-LV" w:bidi="en-US"/>
        </w:rPr>
        <w:t xml:space="preserve">praksē varētu tikt izmantoti šādi risinājumi: </w:t>
      </w:r>
      <w:r w:rsidRPr="00AF2F6C">
        <w:rPr>
          <w:rFonts w:eastAsia="Calibri" w:cs="Times New Roman"/>
          <w:szCs w:val="24"/>
          <w:shd w:val="clear" w:color="auto" w:fill="FFFFFF"/>
          <w:lang w:eastAsia="lv-LV"/>
        </w:rPr>
        <w:t xml:space="preserve"> </w:t>
      </w:r>
    </w:p>
    <w:p w14:paraId="73C409A7" w14:textId="3618BFCE" w:rsidR="00675E17" w:rsidRPr="00AF2F6C" w:rsidRDefault="00AF2F6C" w:rsidP="00333EB4">
      <w:pPr>
        <w:spacing w:after="0" w:line="240" w:lineRule="auto"/>
        <w:jc w:val="both"/>
        <w:rPr>
          <w:rFonts w:eastAsia="Aptos" w:cs="Times New Roman"/>
          <w:szCs w:val="24"/>
        </w:rPr>
      </w:pPr>
      <w:r w:rsidRPr="00AF2F6C">
        <w:rPr>
          <w:rFonts w:cs="Times New Roman"/>
          <w:szCs w:val="24"/>
        </w:rPr>
        <w:t>1. </w:t>
      </w:r>
      <w:r>
        <w:rPr>
          <w:szCs w:val="24"/>
        </w:rPr>
        <w:t>I</w:t>
      </w:r>
      <w:r w:rsidRPr="00AF2F6C">
        <w:rPr>
          <w:szCs w:val="24"/>
        </w:rPr>
        <w:t>zmantot standartizētus</w:t>
      </w:r>
      <w:r>
        <w:rPr>
          <w:szCs w:val="24"/>
        </w:rPr>
        <w:t xml:space="preserve"> </w:t>
      </w:r>
      <w:r>
        <w:rPr>
          <w:rFonts w:eastAsia="Calibri" w:cs="Times New Roman"/>
          <w:szCs w:val="24"/>
          <w:shd w:val="clear" w:color="auto" w:fill="FFFFFF"/>
          <w:lang w:eastAsia="lv-LV"/>
        </w:rPr>
        <w:t>tuvas darbības bezvadu</w:t>
      </w:r>
      <w:r w:rsidRPr="004A40A8">
        <w:rPr>
          <w:rFonts w:eastAsia="Calibri" w:cs="Times New Roman"/>
          <w:szCs w:val="24"/>
          <w:shd w:val="clear" w:color="auto" w:fill="FFFFFF"/>
          <w:lang w:eastAsia="lv-LV"/>
        </w:rPr>
        <w:t xml:space="preserve"> piekļuves punkt</w:t>
      </w:r>
      <w:r>
        <w:rPr>
          <w:rFonts w:eastAsia="Calibri" w:cs="Times New Roman"/>
          <w:szCs w:val="24"/>
          <w:shd w:val="clear" w:color="auto" w:fill="FFFFFF"/>
          <w:lang w:eastAsia="lv-LV"/>
        </w:rPr>
        <w:t xml:space="preserve">u </w:t>
      </w:r>
      <w:r w:rsidRPr="00AF2F6C">
        <w:rPr>
          <w:szCs w:val="24"/>
        </w:rPr>
        <w:t xml:space="preserve">ierīkošanas tehnisko projektu risinājumus, kas samazinātu administratīvo slogu. </w:t>
      </w:r>
    </w:p>
    <w:p w14:paraId="18238958" w14:textId="5C0BF6C3" w:rsidR="00AF2F6C" w:rsidRPr="004705EB" w:rsidRDefault="00AF2F6C" w:rsidP="00333EB4">
      <w:pPr>
        <w:spacing w:after="0" w:line="240" w:lineRule="auto"/>
        <w:ind w:firstLine="720"/>
        <w:jc w:val="both"/>
        <w:rPr>
          <w:szCs w:val="24"/>
        </w:rPr>
      </w:pPr>
      <w:r w:rsidRPr="00AF2F6C">
        <w:rPr>
          <w:szCs w:val="24"/>
        </w:rPr>
        <w:t>Šādu</w:t>
      </w:r>
      <w:r>
        <w:rPr>
          <w:szCs w:val="24"/>
        </w:rPr>
        <w:t xml:space="preserve"> risinājumu ir atbalstījusi Latvijas Elektronisko komunikāciju asociācija, vienlaikus norādot, ka </w:t>
      </w:r>
      <w:r w:rsidRPr="00AF2F6C">
        <w:rPr>
          <w:szCs w:val="24"/>
        </w:rPr>
        <w:t>standartizētu risinājumu izstrādāšana būtu jāiekļauj MK noteikumos Nr.50</w:t>
      </w:r>
      <w:r w:rsidR="0083798D">
        <w:rPr>
          <w:szCs w:val="24"/>
        </w:rPr>
        <w:t>1</w:t>
      </w:r>
      <w:r w:rsidRPr="00AF2F6C">
        <w:rPr>
          <w:szCs w:val="24"/>
        </w:rPr>
        <w:t xml:space="preserve"> un būvnormatīvā LBN 262-15 „Elektronisko sakaru tīkli”. Tikai specifiskos gadījumos, kur standartizētos risinājumus nevar izmantot, būtu jāizstrādā individuāls ierīkošanas tehniskais projekts, ņemot vērā  MK noteikumu Nr.501 un būvnormatīva LBN 262-15 prasības, kā arī specifiskās prasības konkrētajam objektam.</w:t>
      </w:r>
    </w:p>
    <w:p w14:paraId="2337361C" w14:textId="77777777" w:rsidR="00AF2F6C" w:rsidRPr="004A40A8" w:rsidRDefault="00AF2F6C" w:rsidP="00333EB4">
      <w:pPr>
        <w:spacing w:after="0" w:line="240" w:lineRule="auto"/>
        <w:jc w:val="both"/>
        <w:rPr>
          <w:rFonts w:cs="Times New Roman"/>
          <w:szCs w:val="24"/>
          <w:highlight w:val="yellow"/>
        </w:rPr>
      </w:pPr>
    </w:p>
    <w:p w14:paraId="42B336D1" w14:textId="59FFE234" w:rsidR="00675E17" w:rsidRPr="004A40A8" w:rsidRDefault="00AF2F6C" w:rsidP="00333EB4">
      <w:pPr>
        <w:spacing w:after="0" w:line="240" w:lineRule="auto"/>
        <w:jc w:val="both"/>
        <w:rPr>
          <w:rFonts w:cs="Times New Roman"/>
          <w:szCs w:val="24"/>
        </w:rPr>
      </w:pPr>
      <w:r w:rsidRPr="00333EB4">
        <w:rPr>
          <w:rFonts w:cs="Times New Roman"/>
          <w:szCs w:val="24"/>
        </w:rPr>
        <w:t xml:space="preserve">2. </w:t>
      </w:r>
      <w:r w:rsidRPr="00333EB4">
        <w:rPr>
          <w:rFonts w:eastAsia="Calibri" w:cs="Times New Roman"/>
          <w:szCs w:val="24"/>
          <w:shd w:val="clear" w:color="auto" w:fill="FFFFFF"/>
          <w:lang w:eastAsia="lv-LV"/>
        </w:rPr>
        <w:t>T</w:t>
      </w:r>
      <w:r w:rsidR="00675E17" w:rsidRPr="00333EB4">
        <w:rPr>
          <w:rFonts w:eastAsia="Calibri" w:cs="Times New Roman"/>
          <w:szCs w:val="24"/>
          <w:shd w:val="clear" w:color="auto" w:fill="FFFFFF"/>
          <w:lang w:eastAsia="lv-LV"/>
        </w:rPr>
        <w:t>uvas</w:t>
      </w:r>
      <w:r w:rsidR="00675E17" w:rsidRPr="00AF2F6C">
        <w:rPr>
          <w:rFonts w:eastAsia="Calibri" w:cs="Times New Roman"/>
          <w:szCs w:val="24"/>
          <w:shd w:val="clear" w:color="auto" w:fill="FFFFFF"/>
          <w:lang w:eastAsia="lv-LV"/>
        </w:rPr>
        <w:t xml:space="preserve"> darbības bezvadu piekļuves punktu</w:t>
      </w:r>
      <w:r w:rsidR="00675E17" w:rsidRPr="00AF2F6C">
        <w:rPr>
          <w:rFonts w:eastAsia="Aptos" w:cs="Times New Roman"/>
          <w:szCs w:val="24"/>
        </w:rPr>
        <w:t xml:space="preserve"> ierīkošanai publiskajā </w:t>
      </w:r>
      <w:proofErr w:type="spellStart"/>
      <w:r w:rsidR="00675E17" w:rsidRPr="00AF2F6C">
        <w:rPr>
          <w:rFonts w:eastAsia="Aptos" w:cs="Times New Roman"/>
          <w:szCs w:val="24"/>
        </w:rPr>
        <w:t>ārtelpā</w:t>
      </w:r>
      <w:proofErr w:type="spellEnd"/>
      <w:r w:rsidR="00675E17" w:rsidRPr="00AF2F6C">
        <w:rPr>
          <w:rFonts w:eastAsia="Aptos" w:cs="Times New Roman"/>
          <w:szCs w:val="24"/>
        </w:rPr>
        <w:t xml:space="preserve"> nepieciešams</w:t>
      </w:r>
      <w:r>
        <w:rPr>
          <w:rFonts w:eastAsia="Aptos" w:cs="Times New Roman"/>
          <w:szCs w:val="24"/>
        </w:rPr>
        <w:t xml:space="preserve"> izstrādāt </w:t>
      </w:r>
      <w:r w:rsidR="00675E17" w:rsidRPr="00AF2F6C">
        <w:rPr>
          <w:rFonts w:eastAsia="Aptos" w:cs="Times New Roman"/>
          <w:szCs w:val="24"/>
        </w:rPr>
        <w:t>ierīkošanas tehnisk</w:t>
      </w:r>
      <w:r w:rsidR="00333EB4">
        <w:rPr>
          <w:rFonts w:eastAsia="Aptos" w:cs="Times New Roman"/>
          <w:szCs w:val="24"/>
        </w:rPr>
        <w:t>o</w:t>
      </w:r>
      <w:r w:rsidR="00675E17" w:rsidRPr="00AF2F6C">
        <w:rPr>
          <w:rFonts w:eastAsia="Aptos" w:cs="Times New Roman"/>
          <w:szCs w:val="24"/>
        </w:rPr>
        <w:t xml:space="preserve"> projekt</w:t>
      </w:r>
      <w:r w:rsidR="00333EB4">
        <w:rPr>
          <w:rFonts w:eastAsia="Aptos" w:cs="Times New Roman"/>
          <w:szCs w:val="24"/>
        </w:rPr>
        <w:t>u</w:t>
      </w:r>
      <w:r w:rsidR="00675E17" w:rsidRPr="00AF2F6C">
        <w:rPr>
          <w:rFonts w:cs="Times New Roman"/>
          <w:szCs w:val="24"/>
        </w:rPr>
        <w:t xml:space="preserve">. Administratīvā sloga mazināšanai varētu noteikt dažādus izņēmumu gadījumus, kuros ierīkošanas tehnisko projektu varētu aizstāt ar aizpildītu un apliecinātu reģistrācijas formu. Šādi izņēmuma gadījumi varētu būt piemērojami iepriekš noteiktiem tipveida risinājumiem, piemēram, ņemot vērā </w:t>
      </w:r>
      <w:r w:rsidR="00675E17" w:rsidRPr="00AF2F6C">
        <w:rPr>
          <w:rFonts w:eastAsia="Calibri" w:cs="Times New Roman"/>
          <w:szCs w:val="24"/>
          <w:shd w:val="clear" w:color="auto" w:fill="FFFFFF"/>
          <w:lang w:eastAsia="lv-LV"/>
        </w:rPr>
        <w:t xml:space="preserve">tuvas darbības bezvadu piekļuves iekārtas </w:t>
      </w:r>
      <w:r w:rsidR="00675E17" w:rsidRPr="00AF2F6C">
        <w:rPr>
          <w:rFonts w:cs="Times New Roman"/>
          <w:szCs w:val="24"/>
        </w:rPr>
        <w:t xml:space="preserve">svara, izstarotās jaudas, vizuālo parametru, ierīkošanas augstuma, teritorijas vai vietas ierobežojumus. Uzskatāmībai var minēt piemēru, ka šādu izņēmumu ar reģistrācijas formu varētu noteikt tipveida gadījumiem </w:t>
      </w:r>
      <w:r w:rsidR="004001E9" w:rsidRPr="00AF2F6C">
        <w:rPr>
          <w:rFonts w:cs="Times New Roman"/>
          <w:szCs w:val="24"/>
        </w:rPr>
        <w:t>–</w:t>
      </w:r>
      <w:r w:rsidR="00675E17" w:rsidRPr="00AF2F6C">
        <w:rPr>
          <w:rFonts w:cs="Times New Roman"/>
          <w:szCs w:val="24"/>
        </w:rPr>
        <w:t xml:space="preserve"> </w:t>
      </w:r>
      <w:r w:rsidRPr="00AF2F6C">
        <w:rPr>
          <w:rFonts w:cs="Times New Roman"/>
          <w:szCs w:val="24"/>
        </w:rPr>
        <w:t xml:space="preserve">piemēram, </w:t>
      </w:r>
      <w:r w:rsidR="00675E17" w:rsidRPr="00AF2F6C">
        <w:rPr>
          <w:rFonts w:cs="Times New Roman"/>
          <w:szCs w:val="24"/>
        </w:rPr>
        <w:t>uzstādot E2 klases tuvas darbības piekļuves punktu</w:t>
      </w:r>
      <w:r w:rsidR="00333EB4">
        <w:rPr>
          <w:rFonts w:cs="Times New Roman"/>
          <w:szCs w:val="24"/>
        </w:rPr>
        <w:t>s</w:t>
      </w:r>
      <w:r w:rsidR="00675E17" w:rsidRPr="00AF2F6C">
        <w:rPr>
          <w:rFonts w:cs="Times New Roman"/>
          <w:szCs w:val="24"/>
        </w:rPr>
        <w:t xml:space="preserve"> uz noteikta tipa gaismas laternām vietās, kur nav noteikti pilsētvides ierobežojumi. </w:t>
      </w:r>
    </w:p>
    <w:p w14:paraId="2DAA8C9E" w14:textId="77777777" w:rsidR="00675E17" w:rsidRPr="004A40A8" w:rsidRDefault="00675E17" w:rsidP="00333EB4">
      <w:pPr>
        <w:spacing w:after="0" w:line="240" w:lineRule="auto"/>
        <w:rPr>
          <w:lang w:eastAsia="lv-LV"/>
        </w:rPr>
      </w:pPr>
    </w:p>
    <w:p w14:paraId="37E2F6B7" w14:textId="77777777" w:rsidR="00FD3718" w:rsidRPr="004A40A8" w:rsidRDefault="00FD3718" w:rsidP="00333EB4">
      <w:pPr>
        <w:pStyle w:val="Heading1"/>
        <w:numPr>
          <w:ilvl w:val="0"/>
          <w:numId w:val="25"/>
        </w:numPr>
        <w:spacing w:before="0" w:after="0" w:line="240" w:lineRule="auto"/>
        <w:rPr>
          <w:rFonts w:ascii="Times New Roman" w:hAnsi="Times New Roman" w:cs="Times New Roman"/>
          <w:b/>
          <w:bCs/>
          <w:color w:val="auto"/>
          <w:sz w:val="24"/>
          <w:szCs w:val="24"/>
        </w:rPr>
      </w:pPr>
      <w:bookmarkStart w:id="7" w:name="_Toc215730731"/>
      <w:r w:rsidRPr="004A40A8">
        <w:rPr>
          <w:rFonts w:ascii="Times New Roman" w:hAnsi="Times New Roman" w:cs="Times New Roman"/>
          <w:b/>
          <w:bCs/>
          <w:color w:val="auto"/>
          <w:sz w:val="24"/>
          <w:szCs w:val="24"/>
        </w:rPr>
        <w:t>Izmantojamais radiofrekvenču spektrs</w:t>
      </w:r>
      <w:bookmarkEnd w:id="7"/>
    </w:p>
    <w:p w14:paraId="7F596DF7" w14:textId="2AB75E73" w:rsidR="005D5F7C" w:rsidRPr="004A40A8" w:rsidRDefault="00FD3718" w:rsidP="00333EB4">
      <w:pPr>
        <w:spacing w:after="0" w:line="240" w:lineRule="auto"/>
        <w:ind w:firstLine="720"/>
        <w:jc w:val="both"/>
      </w:pPr>
      <w:r w:rsidRPr="004A40A8">
        <w:t>Ministru kabineta 2023. gada 10. janvāra noteikumi Nr. 3 “</w:t>
      </w:r>
      <w:r w:rsidRPr="004A40A8">
        <w:rPr>
          <w:rFonts w:cs="Times New Roman"/>
          <w:szCs w:val="24"/>
        </w:rPr>
        <w:t xml:space="preserve">Nacionālais radiofrekvenču plāns” nosaka radiofrekvenču spektra joslu sadalījumu radiosakaru </w:t>
      </w:r>
      <w:r w:rsidRPr="004A40A8">
        <w:rPr>
          <w:rFonts w:cs="Times New Roman"/>
          <w:szCs w:val="24"/>
        </w:rPr>
        <w:lastRenderedPageBreak/>
        <w:t>veidiem (radiosakaru dienestiem) un iedalījumu radiosakaru sistēmā</w:t>
      </w:r>
      <w:r w:rsidR="0063414A" w:rsidRPr="004A40A8">
        <w:rPr>
          <w:rFonts w:cs="Times New Roman"/>
          <w:szCs w:val="24"/>
        </w:rPr>
        <w:t>m</w:t>
      </w:r>
      <w:r w:rsidRPr="004A40A8">
        <w:rPr>
          <w:rFonts w:cs="Times New Roman"/>
          <w:szCs w:val="24"/>
        </w:rPr>
        <w:t>, kā arī radiofrekvenču un radiofrekvenču spektra joslu izmantošanas vispārīgos nosacījumus.</w:t>
      </w:r>
      <w:r w:rsidR="005D5F7C" w:rsidRPr="004A40A8">
        <w:rPr>
          <w:rFonts w:cs="Times New Roman"/>
          <w:szCs w:val="24"/>
        </w:rPr>
        <w:t xml:space="preserve"> </w:t>
      </w:r>
      <w:r w:rsidR="0063414A" w:rsidRPr="004A40A8">
        <w:t>Tuvas darbības bezvadu piekļuves punktiem izmanto Nacionālā radiofrekvenču plāna 3.pielikumā “Koplietojama radiofrekvences piešķīruma lietošanas atļauja”</w:t>
      </w:r>
      <w:r w:rsidR="0063414A" w:rsidRPr="004A40A8">
        <w:rPr>
          <w:rStyle w:val="FootnoteReference"/>
        </w:rPr>
        <w:footnoteReference w:id="11"/>
      </w:r>
      <w:r w:rsidR="0063414A" w:rsidRPr="004A40A8">
        <w:t xml:space="preserve"> noteiktās radiofrekvenču spektra joslas</w:t>
      </w:r>
      <w:r w:rsidR="005D5F7C" w:rsidRPr="004A40A8">
        <w:t>.</w:t>
      </w:r>
    </w:p>
    <w:p w14:paraId="0DA42F10" w14:textId="04384FC8" w:rsidR="00675E17" w:rsidRPr="004A40A8" w:rsidRDefault="005D5F7C" w:rsidP="00E40F42">
      <w:pPr>
        <w:spacing w:after="0" w:line="240" w:lineRule="auto"/>
        <w:ind w:firstLine="360"/>
        <w:jc w:val="both"/>
        <w:rPr>
          <w:rFonts w:cs="Times New Roman"/>
          <w:szCs w:val="24"/>
        </w:rPr>
      </w:pPr>
      <w:r w:rsidRPr="004A40A8">
        <w:t xml:space="preserve">  </w:t>
      </w:r>
    </w:p>
    <w:p w14:paraId="3914E447" w14:textId="5DA7A6A9" w:rsidR="00536C1F" w:rsidRPr="004A40A8" w:rsidRDefault="00F72FE6" w:rsidP="00E40F42">
      <w:pPr>
        <w:pStyle w:val="Heading1"/>
        <w:numPr>
          <w:ilvl w:val="0"/>
          <w:numId w:val="25"/>
        </w:numPr>
        <w:spacing w:before="0" w:after="0" w:line="240" w:lineRule="auto"/>
        <w:rPr>
          <w:rFonts w:ascii="Times New Roman" w:hAnsi="Times New Roman" w:cs="Times New Roman"/>
          <w:b/>
          <w:bCs/>
          <w:color w:val="auto"/>
          <w:sz w:val="24"/>
          <w:szCs w:val="24"/>
        </w:rPr>
      </w:pPr>
      <w:bookmarkStart w:id="8" w:name="_Toc215730732"/>
      <w:r w:rsidRPr="004A40A8">
        <w:rPr>
          <w:rFonts w:ascii="Times New Roman" w:hAnsi="Times New Roman" w:cs="Times New Roman"/>
          <w:b/>
          <w:bCs/>
          <w:color w:val="auto"/>
          <w:sz w:val="24"/>
          <w:szCs w:val="24"/>
        </w:rPr>
        <w:t>Drošības prasības</w:t>
      </w:r>
      <w:bookmarkEnd w:id="8"/>
    </w:p>
    <w:p w14:paraId="757CBBE4" w14:textId="76728A40" w:rsidR="00757CE5" w:rsidRPr="004A40A8" w:rsidRDefault="00536C1F" w:rsidP="00E40F42">
      <w:pPr>
        <w:spacing w:after="0" w:line="240" w:lineRule="auto"/>
        <w:ind w:firstLine="720"/>
        <w:jc w:val="both"/>
        <w:rPr>
          <w:b/>
          <w:bCs/>
        </w:rPr>
      </w:pPr>
      <w:r w:rsidRPr="004A40A8">
        <w:t xml:space="preserve">Elektromagnētiskā starojuma līmenis </w:t>
      </w:r>
      <w:r w:rsidR="00C63166" w:rsidRPr="004A40A8">
        <w:t xml:space="preserve"> nedrīkst pārsniegt Latvijas normatīvos noteiktos limitus</w:t>
      </w:r>
      <w:r w:rsidR="002120DC" w:rsidRPr="004A40A8">
        <w:t xml:space="preserve">, tostarp noteiktos </w:t>
      </w:r>
      <w:r w:rsidR="00757CE5" w:rsidRPr="004A40A8">
        <w:t>Ministru kabineta 2018.</w:t>
      </w:r>
      <w:r w:rsidR="00F72FE6" w:rsidRPr="004A40A8">
        <w:t> </w:t>
      </w:r>
      <w:r w:rsidR="00757CE5" w:rsidRPr="004A40A8">
        <w:t>gada 16.</w:t>
      </w:r>
      <w:r w:rsidR="00F72FE6" w:rsidRPr="004A40A8">
        <w:t> </w:t>
      </w:r>
      <w:r w:rsidR="00757CE5" w:rsidRPr="004A40A8">
        <w:t>oktobra noteikum</w:t>
      </w:r>
      <w:r w:rsidR="002120DC" w:rsidRPr="004A40A8">
        <w:t>os</w:t>
      </w:r>
      <w:r w:rsidR="00757CE5" w:rsidRPr="004A40A8">
        <w:t xml:space="preserve"> Nr.</w:t>
      </w:r>
      <w:r w:rsidR="00F72FE6" w:rsidRPr="004A40A8">
        <w:t> </w:t>
      </w:r>
      <w:r w:rsidR="00757CE5" w:rsidRPr="004A40A8">
        <w:t>637 “Elektromagnētiskā lauka iedarbības uz iedzīvotājiem novērtēšanas un ierobežošanas noteikumi”</w:t>
      </w:r>
      <w:r w:rsidR="00F72FE6" w:rsidRPr="004A40A8">
        <w:t>.</w:t>
      </w:r>
    </w:p>
    <w:p w14:paraId="3F7FF916" w14:textId="211EF91C" w:rsidR="00D76AF7" w:rsidRPr="004A40A8" w:rsidRDefault="00D76AF7" w:rsidP="00E40F42">
      <w:pPr>
        <w:spacing w:after="0" w:line="240" w:lineRule="auto"/>
        <w:ind w:firstLine="720"/>
        <w:jc w:val="both"/>
      </w:pPr>
      <w:bookmarkStart w:id="9" w:name="_Hlk215732012"/>
      <w:r w:rsidRPr="004A40A8">
        <w:t xml:space="preserve">Saskaņā ar </w:t>
      </w:r>
      <w:r w:rsidR="00437344">
        <w:t>Ministru kabineta</w:t>
      </w:r>
      <w:r w:rsidRPr="004A40A8">
        <w:t xml:space="preserve"> </w:t>
      </w:r>
      <w:r w:rsidR="00437344" w:rsidRPr="00437344">
        <w:t>2014.</w:t>
      </w:r>
      <w:r w:rsidR="00D06135">
        <w:t> </w:t>
      </w:r>
      <w:r w:rsidR="00437344" w:rsidRPr="00437344">
        <w:t>gada 19.</w:t>
      </w:r>
      <w:r w:rsidR="00D06135">
        <w:t> </w:t>
      </w:r>
      <w:r w:rsidR="00437344" w:rsidRPr="00437344">
        <w:t>augusta</w:t>
      </w:r>
      <w:r w:rsidR="00437344" w:rsidRPr="004A40A8">
        <w:rPr>
          <w:b/>
          <w:bCs/>
        </w:rPr>
        <w:t xml:space="preserve"> </w:t>
      </w:r>
      <w:r w:rsidRPr="004A40A8">
        <w:t>noteikumu Nr.</w:t>
      </w:r>
      <w:r w:rsidR="00F72FE6" w:rsidRPr="004A40A8">
        <w:t> </w:t>
      </w:r>
      <w:r w:rsidR="00F03393" w:rsidRPr="004A40A8">
        <w:t xml:space="preserve">501 </w:t>
      </w:r>
      <w:r w:rsidR="00437344">
        <w:t>“</w:t>
      </w:r>
      <w:r w:rsidR="00437344" w:rsidRPr="00437344">
        <w:t>Elektronisko sakaru inženierbūvju būvnoteikumi</w:t>
      </w:r>
      <w:r w:rsidR="00437344">
        <w:t xml:space="preserve">” </w:t>
      </w:r>
      <w:r w:rsidRPr="004A40A8">
        <w:t>39.</w:t>
      </w:r>
      <w:r w:rsidR="00F72FE6" w:rsidRPr="004A40A8">
        <w:t> </w:t>
      </w:r>
      <w:r w:rsidR="00F03393" w:rsidRPr="004A40A8">
        <w:t>punktu i</w:t>
      </w:r>
      <w:r w:rsidRPr="004A40A8">
        <w:t xml:space="preserve">erīkoto mobilo sakaru bāzes staciju, </w:t>
      </w:r>
      <w:r w:rsidRPr="004A40A8">
        <w:rPr>
          <w:noProof/>
        </w:rPr>
        <w:t>radioraidītāju</w:t>
      </w:r>
      <w:r w:rsidRPr="004A40A8">
        <w:t xml:space="preserve"> vai televīzijas raidītāju pieņem ekspluatācijā tikai pēc elektromagnētiskā lauka līmeņu praktisko mērījumu veikšanas ar mēraparātiem, kas sertificēti mērījumu vienotības jomu regulējošajos normatīvajos aktos noteiktajā kārtībā, un mērījumu rezultātu atbilstības izvērtēšanas Veselības inspekcijā.</w:t>
      </w:r>
    </w:p>
    <w:bookmarkEnd w:id="9"/>
    <w:p w14:paraId="3D103EEC" w14:textId="77777777" w:rsidR="005D5F7C" w:rsidRPr="004A40A8" w:rsidRDefault="005D5F7C" w:rsidP="00E40F42">
      <w:pPr>
        <w:spacing w:after="0" w:line="240" w:lineRule="auto"/>
        <w:ind w:firstLine="360"/>
        <w:jc w:val="both"/>
      </w:pPr>
    </w:p>
    <w:p w14:paraId="7888E68D" w14:textId="77777777" w:rsidR="005D5F7C" w:rsidRPr="004A40A8" w:rsidRDefault="00C63166" w:rsidP="00E40F42">
      <w:pPr>
        <w:pStyle w:val="Heading1"/>
        <w:numPr>
          <w:ilvl w:val="0"/>
          <w:numId w:val="25"/>
        </w:numPr>
        <w:spacing w:before="0" w:after="0" w:line="240" w:lineRule="auto"/>
        <w:rPr>
          <w:rFonts w:ascii="Times New Roman" w:hAnsi="Times New Roman" w:cs="Times New Roman"/>
          <w:b/>
          <w:bCs/>
          <w:color w:val="auto"/>
          <w:sz w:val="24"/>
          <w:szCs w:val="24"/>
        </w:rPr>
      </w:pPr>
      <w:bookmarkStart w:id="10" w:name="_Toc215730733"/>
      <w:r w:rsidRPr="004A40A8">
        <w:rPr>
          <w:rFonts w:ascii="Times New Roman" w:hAnsi="Times New Roman" w:cs="Times New Roman"/>
          <w:b/>
          <w:bCs/>
          <w:color w:val="auto"/>
          <w:sz w:val="24"/>
          <w:szCs w:val="24"/>
        </w:rPr>
        <w:t>Pieejamība</w:t>
      </w:r>
      <w:bookmarkEnd w:id="10"/>
    </w:p>
    <w:p w14:paraId="43FB9D94" w14:textId="46F8A9B1" w:rsidR="005D5F7C" w:rsidRPr="004A40A8" w:rsidRDefault="005D5F7C" w:rsidP="00E40F42">
      <w:pPr>
        <w:spacing w:after="0" w:line="240" w:lineRule="auto"/>
        <w:ind w:firstLine="720"/>
        <w:jc w:val="both"/>
      </w:pPr>
      <w:r w:rsidRPr="004A40A8">
        <w:t>Ir jānodrošina droša piekļuve tuvas darbības bezvadu piekļuves punktu</w:t>
      </w:r>
      <w:r w:rsidR="00D30C36" w:rsidRPr="004A40A8">
        <w:t xml:space="preserve"> </w:t>
      </w:r>
      <w:r w:rsidRPr="004A40A8">
        <w:t>apkalpošanai atbilstoši ESL 30. panta ceturtajā un piektajā daļā noteiktajai kārtībai</w:t>
      </w:r>
      <w:r w:rsidR="00F4008E" w:rsidRPr="004A40A8">
        <w:t>:</w:t>
      </w:r>
    </w:p>
    <w:p w14:paraId="26D91B52" w14:textId="77777777" w:rsidR="005D5F7C" w:rsidRPr="004A40A8" w:rsidRDefault="005D5F7C" w:rsidP="00E40F42">
      <w:pPr>
        <w:spacing w:after="0" w:line="240" w:lineRule="auto"/>
        <w:ind w:firstLine="720"/>
        <w:jc w:val="both"/>
      </w:pPr>
      <w:r w:rsidRPr="004A40A8">
        <w:t xml:space="preserve">(4) Nekustamā īpašuma īpašnieks vai valdītājs nodrošina elektronisko sakaru komersantam iespēju piekļūt pie attiecīgajā īpašumā, arī </w:t>
      </w:r>
      <w:r w:rsidRPr="004A40A8">
        <w:rPr>
          <w:noProof/>
        </w:rPr>
        <w:t>liegumzonā,</w:t>
      </w:r>
      <w:r w:rsidRPr="004A40A8">
        <w:t xml:space="preserve"> slēgtā teritorijā vai ēkā esošajiem elektronisko sakaru tīkliem un to infrastruktūras inženierbūvēm, lai veiktu ar šo tīklu un attiecīgo infrastruktūras inženierbūvju nodrošināšanu saistītus darbus. Par remonta vai citu ar tīkla nodrošināšanu saistītu darbu nepieciešamību nekustamā īpašuma īpašnieku vai valdītāju brīdina vismaz vienu dienu pirms šo darbu uzsākšanas. Avārijas gadījumā pieļaujams tās seku novēršanu uzsākt bez nekustamā īpašuma īpašnieka vai valdītāja iepriekšējas brīdināšanas, ja to nav iespējams izdarīt. Par avārijas gadījumiem tiek uzskatīti elektronisko sakaru tīkla bojājumi, kuru rezultātā elektronisko sakaru pakalpojumu sniegšana ir pilnībā vai daļēji traucēta vai kuri var tūlīt pat rasties.</w:t>
      </w:r>
    </w:p>
    <w:p w14:paraId="71F9E97C" w14:textId="77777777" w:rsidR="005D5F7C" w:rsidRPr="004A40A8" w:rsidRDefault="005D5F7C" w:rsidP="00E40F42">
      <w:pPr>
        <w:spacing w:after="0" w:line="240" w:lineRule="auto"/>
        <w:ind w:firstLine="720"/>
        <w:jc w:val="both"/>
      </w:pPr>
      <w:r w:rsidRPr="004A40A8">
        <w:t>(5) Ja šajā likumā nav noteikts citādi, publiskā elektronisko sakaru tīkla īpašnieks vai valdītājs izlieto šajā likumā noteiktās tiesības piekļūt savam elektronisko sakaru tīklam, nemaksājot atlīdzību par šajā pantā paredzēto nekustamā īpašuma lietošanas tiesību aprobežojumu. Šis nosacījums neierobežo nekustamā īpašuma īpašnieka, valdītāja vai lietotāja tiesības prasīt viņam radīto tiešo zaudējumu atlīdzību.</w:t>
      </w:r>
    </w:p>
    <w:p w14:paraId="1B7F2BF1" w14:textId="6CA2191E" w:rsidR="005D5F7C" w:rsidRDefault="005D5F7C" w:rsidP="00CC09DD">
      <w:pPr>
        <w:spacing w:after="0" w:line="240" w:lineRule="auto"/>
        <w:ind w:firstLine="720"/>
        <w:jc w:val="both"/>
      </w:pPr>
      <w:r w:rsidRPr="004A40A8">
        <w:t xml:space="preserve">Saskaņā ar ESL 30. panta sesto daļu nekustamā īpašuma īpašnieks vai tiesiskais valdītājs, vai — attiecīgos gadījumos — pārvaldītājs nedrīkst bojāt vai pārveidot elektronisko sakaru tīklu, kas izvietots nekustamajā īpašumā, vai veikt darbības, kas kavētu nekustamajā īpašumā izvietotā elektronisko sakaru tīkla nodrošināšanu vai elektronisko sakaru pakalpojumu sniegšanu, tai skaitā galalietotāju un patērētāju </w:t>
      </w:r>
      <w:r w:rsidRPr="004A40A8">
        <w:rPr>
          <w:noProof/>
        </w:rPr>
        <w:t>pieslēgumu</w:t>
      </w:r>
      <w:r w:rsidRPr="004A40A8">
        <w:t xml:space="preserve"> veikšanu.</w:t>
      </w:r>
    </w:p>
    <w:p w14:paraId="401979D1" w14:textId="77777777" w:rsidR="003C4B90" w:rsidRPr="004A40A8" w:rsidRDefault="003C4B90" w:rsidP="00E40F42">
      <w:pPr>
        <w:spacing w:after="0" w:line="240" w:lineRule="auto"/>
        <w:jc w:val="both"/>
      </w:pPr>
    </w:p>
    <w:p w14:paraId="68E1729F" w14:textId="4BC493A7" w:rsidR="00D76AF7" w:rsidRPr="004A40A8" w:rsidRDefault="00D76AF7" w:rsidP="00E40F42">
      <w:pPr>
        <w:pStyle w:val="Heading1"/>
        <w:numPr>
          <w:ilvl w:val="0"/>
          <w:numId w:val="25"/>
        </w:numPr>
        <w:spacing w:before="0" w:after="0" w:line="240" w:lineRule="auto"/>
        <w:rPr>
          <w:rFonts w:ascii="Times New Roman" w:hAnsi="Times New Roman" w:cs="Times New Roman"/>
          <w:b/>
          <w:bCs/>
          <w:color w:val="auto"/>
          <w:sz w:val="24"/>
          <w:szCs w:val="24"/>
        </w:rPr>
      </w:pPr>
      <w:bookmarkStart w:id="11" w:name="_Toc215730734"/>
      <w:r w:rsidRPr="004A40A8">
        <w:rPr>
          <w:rFonts w:ascii="Times New Roman" w:hAnsi="Times New Roman" w:cs="Times New Roman"/>
          <w:b/>
          <w:bCs/>
          <w:color w:val="auto"/>
          <w:sz w:val="24"/>
          <w:szCs w:val="24"/>
        </w:rPr>
        <w:lastRenderedPageBreak/>
        <w:t>Sadarbība ar</w:t>
      </w:r>
      <w:r w:rsidR="00374F6E" w:rsidRPr="004A40A8">
        <w:rPr>
          <w:rFonts w:ascii="Times New Roman" w:hAnsi="Times New Roman" w:cs="Times New Roman"/>
          <w:b/>
          <w:bCs/>
          <w:color w:val="auto"/>
          <w:sz w:val="24"/>
          <w:szCs w:val="24"/>
        </w:rPr>
        <w:t xml:space="preserve"> infrastruktūras izvietošanai nepieciešamā</w:t>
      </w:r>
      <w:r w:rsidRPr="004A40A8">
        <w:rPr>
          <w:rFonts w:ascii="Times New Roman" w:hAnsi="Times New Roman" w:cs="Times New Roman"/>
          <w:b/>
          <w:bCs/>
          <w:color w:val="auto"/>
          <w:sz w:val="24"/>
          <w:szCs w:val="24"/>
        </w:rPr>
        <w:t xml:space="preserve"> </w:t>
      </w:r>
      <w:r w:rsidR="00125586" w:rsidRPr="004A40A8">
        <w:rPr>
          <w:rFonts w:ascii="Times New Roman" w:hAnsi="Times New Roman" w:cs="Times New Roman"/>
          <w:b/>
          <w:bCs/>
          <w:color w:val="auto"/>
          <w:sz w:val="24"/>
          <w:szCs w:val="24"/>
        </w:rPr>
        <w:t>nekustamā īpašuma īpašniekiem</w:t>
      </w:r>
      <w:bookmarkEnd w:id="11"/>
    </w:p>
    <w:p w14:paraId="01249EAC" w14:textId="22A17E56" w:rsidR="004267D7" w:rsidRPr="004A40A8" w:rsidRDefault="002120DC" w:rsidP="00E40F42">
      <w:pPr>
        <w:spacing w:after="0" w:line="240" w:lineRule="auto"/>
        <w:ind w:firstLine="720"/>
        <w:jc w:val="both"/>
      </w:pPr>
      <w:r w:rsidRPr="004A40A8">
        <w:t>Izvietojot tuvas darbības bezvadu piekļuves punktus, ļoti būtiska ir elektronisko sakaru komersantu sadarbība ar infrastruktūras izvietošanai nepieciešamā nekustamā īpašuma īpašniekiem</w:t>
      </w:r>
      <w:r w:rsidR="007D7E7E" w:rsidRPr="004A40A8">
        <w:t>, ievērojot pašvaldības apstiprinātos p</w:t>
      </w:r>
      <w:r w:rsidR="004267D7" w:rsidRPr="004A40A8">
        <w:t>ašvaldības teritorijas plānojum</w:t>
      </w:r>
      <w:r w:rsidR="007D7E7E" w:rsidRPr="004A40A8">
        <w:t>us</w:t>
      </w:r>
      <w:r w:rsidR="004267D7" w:rsidRPr="004A40A8">
        <w:t xml:space="preserve"> un </w:t>
      </w:r>
      <w:r w:rsidR="007D7E7E" w:rsidRPr="004A40A8">
        <w:t xml:space="preserve">apbūves </w:t>
      </w:r>
      <w:r w:rsidR="004267D7" w:rsidRPr="004A40A8">
        <w:t>noteikum</w:t>
      </w:r>
      <w:r w:rsidR="007D7E7E" w:rsidRPr="004A40A8">
        <w:t>us.</w:t>
      </w:r>
      <w:r w:rsidR="004267D7" w:rsidRPr="004A40A8">
        <w:t xml:space="preserve"> </w:t>
      </w:r>
    </w:p>
    <w:p w14:paraId="0741DB83" w14:textId="78A1D631" w:rsidR="004305C2" w:rsidRPr="004A40A8" w:rsidRDefault="007B2C2A" w:rsidP="00E40F42">
      <w:pPr>
        <w:pStyle w:val="Heading2"/>
        <w:numPr>
          <w:ilvl w:val="1"/>
          <w:numId w:val="25"/>
        </w:numPr>
        <w:spacing w:before="0" w:after="0" w:line="240" w:lineRule="auto"/>
        <w:rPr>
          <w:rFonts w:ascii="Times New Roman" w:hAnsi="Times New Roman" w:cs="Times New Roman"/>
          <w:b/>
          <w:bCs/>
          <w:color w:val="auto"/>
          <w:sz w:val="24"/>
          <w:szCs w:val="24"/>
        </w:rPr>
      </w:pPr>
      <w:bookmarkStart w:id="12" w:name="_Toc215730735"/>
      <w:r w:rsidRPr="004A40A8">
        <w:rPr>
          <w:rFonts w:ascii="Times New Roman" w:hAnsi="Times New Roman" w:cs="Times New Roman"/>
          <w:b/>
          <w:bCs/>
          <w:color w:val="auto"/>
          <w:sz w:val="24"/>
          <w:szCs w:val="24"/>
        </w:rPr>
        <w:t>Esošā situācija, problemātika un ieteikumi</w:t>
      </w:r>
      <w:bookmarkEnd w:id="12"/>
    </w:p>
    <w:p w14:paraId="3E1A8312" w14:textId="2D7AE6EB" w:rsidR="004305C2" w:rsidRPr="004A40A8" w:rsidRDefault="00D37128" w:rsidP="00E40F42">
      <w:pPr>
        <w:spacing w:after="0" w:line="240" w:lineRule="auto"/>
        <w:ind w:firstLine="720"/>
        <w:jc w:val="both"/>
      </w:pPr>
      <w:r w:rsidRPr="00A6616C">
        <w:t>Kā norādījusi nozare, m</w:t>
      </w:r>
      <w:r w:rsidR="004305C2" w:rsidRPr="00A6616C">
        <w:t>ūsdienās mobilo</w:t>
      </w:r>
      <w:r w:rsidR="004001E9" w:rsidRPr="00A6616C">
        <w:t>s</w:t>
      </w:r>
      <w:r w:rsidR="004305C2" w:rsidRPr="00A6616C">
        <w:t xml:space="preserve"> tālruņu</w:t>
      </w:r>
      <w:r w:rsidR="004001E9" w:rsidRPr="00A6616C">
        <w:t>s</w:t>
      </w:r>
      <w:r w:rsidR="004305C2" w:rsidRPr="00A6616C">
        <w:t xml:space="preserve"> </w:t>
      </w:r>
      <w:r w:rsidR="004001E9" w:rsidRPr="00A6616C">
        <w:t xml:space="preserve">vairāk nekā 80 % </w:t>
      </w:r>
      <w:r w:rsidR="000D212D" w:rsidRPr="00A6616C">
        <w:t xml:space="preserve">no to </w:t>
      </w:r>
      <w:r w:rsidR="004305C2" w:rsidRPr="00A6616C">
        <w:t>lieto</w:t>
      </w:r>
      <w:r w:rsidR="000D212D" w:rsidRPr="00A6616C">
        <w:t>šanas laika izmanto</w:t>
      </w:r>
      <w:r w:rsidR="004305C2" w:rsidRPr="00A6616C">
        <w:t xml:space="preserve"> ēku iekštelpās, un tiek prognozēts, ka nākamajos gados šis skaitlis pieaugs līdz vairāk nekā 90 %.</w:t>
      </w:r>
      <w:r w:rsidR="004305C2" w:rsidRPr="004A40A8">
        <w:t xml:space="preserve"> </w:t>
      </w:r>
    </w:p>
    <w:p w14:paraId="1A233151" w14:textId="3CAD3BE5" w:rsidR="004305C2" w:rsidRPr="004A40A8" w:rsidRDefault="004305C2" w:rsidP="00E40F42">
      <w:pPr>
        <w:spacing w:after="0" w:line="240" w:lineRule="auto"/>
        <w:ind w:firstLine="720"/>
        <w:jc w:val="both"/>
      </w:pPr>
      <w:r w:rsidRPr="004A40A8">
        <w:t xml:space="preserve">Arvien vairāk būvniecībā tiek izmantoti energoefektīvi būvmateriāli (piemēram, energoefektīvi logi), kas izraisa ievērojamu radiosignālu vājināšanos, īpaši augstākās frekvencēs. </w:t>
      </w:r>
      <w:r w:rsidR="00FF0492" w:rsidRPr="004A40A8">
        <w:t xml:space="preserve">Pēc </w:t>
      </w:r>
      <w:r w:rsidRPr="004A40A8">
        <w:t>Tamperes Tehnoloģiju universitātes veikt</w:t>
      </w:r>
      <w:r w:rsidR="00FF0492" w:rsidRPr="004A40A8">
        <w:t>o</w:t>
      </w:r>
      <w:r w:rsidRPr="004A40A8">
        <w:t xml:space="preserve"> mērījum</w:t>
      </w:r>
      <w:r w:rsidR="00FF0492" w:rsidRPr="004A40A8">
        <w:t>u rezultātiem</w:t>
      </w:r>
      <w:r w:rsidRPr="004A40A8">
        <w:t xml:space="preserve"> </w:t>
      </w:r>
      <w:r w:rsidR="00FF0492" w:rsidRPr="004A40A8">
        <w:t>konstatēts</w:t>
      </w:r>
      <w:r w:rsidRPr="004A40A8">
        <w:t>, ka energoefektīvās ēkās radiosignālu caurlaidība vidēji ir divdesmit reizes vājāka un var būt līdz pat 100 reizēm vājāka, salīdzinot ar ēkām, kas tika būvētas pirms 10 gadiem. Potenciālais risinājums šeit ietver zemāku frekvenču izmantošanu mobilo sakaru pakalpojumiem, izmaiņas ēku projektēšanā, kā arī tuvas darbības bezvadu piekļuves punktu izvietošan</w:t>
      </w:r>
      <w:r w:rsidR="00FF0492" w:rsidRPr="004A40A8">
        <w:t>u</w:t>
      </w:r>
      <w:r w:rsidRPr="004A40A8">
        <w:t xml:space="preserve"> ēkās</w:t>
      </w:r>
      <w:r w:rsidRPr="004A40A8">
        <w:rPr>
          <w:rStyle w:val="FootnoteReference"/>
        </w:rPr>
        <w:footnoteReference w:id="12"/>
      </w:r>
      <w:r w:rsidRPr="004A40A8">
        <w:t>.</w:t>
      </w:r>
    </w:p>
    <w:p w14:paraId="5327B9DB" w14:textId="171FF6D1" w:rsidR="004305C2" w:rsidRPr="004A40A8" w:rsidRDefault="00FF0492" w:rsidP="00E40F42">
      <w:pPr>
        <w:spacing w:after="0" w:line="240" w:lineRule="auto"/>
        <w:ind w:firstLine="720"/>
        <w:jc w:val="both"/>
      </w:pPr>
      <w:r w:rsidRPr="004A40A8">
        <w:t>Pateicoties</w:t>
      </w:r>
      <w:r w:rsidR="00C5238D" w:rsidRPr="004A40A8">
        <w:t xml:space="preserve"> </w:t>
      </w:r>
      <w:r w:rsidRPr="004A40A8">
        <w:t>nelielajiem</w:t>
      </w:r>
      <w:r w:rsidR="004305C2" w:rsidRPr="004A40A8">
        <w:t xml:space="preserve"> izmēriem, tuvas darbības bezvadu piekļuves punkt</w:t>
      </w:r>
      <w:r w:rsidRPr="004A40A8">
        <w:t>u izmantošana</w:t>
      </w:r>
      <w:r w:rsidR="004305C2" w:rsidRPr="004A40A8">
        <w:t xml:space="preserve"> var būt risinājums arī ēkās, teritorijās, kurās tradicionālo</w:t>
      </w:r>
      <w:r w:rsidR="003F664F" w:rsidRPr="004A40A8">
        <w:t xml:space="preserve"> </w:t>
      </w:r>
      <w:proofErr w:type="spellStart"/>
      <w:r w:rsidR="003F664F" w:rsidRPr="004A40A8">
        <w:t>makrošūnu</w:t>
      </w:r>
      <w:proofErr w:type="spellEnd"/>
      <w:r w:rsidR="004305C2" w:rsidRPr="004A40A8">
        <w:t xml:space="preserve"> bāzes staciju izvietošana nav </w:t>
      </w:r>
      <w:r w:rsidRPr="004A40A8">
        <w:t>iespējama</w:t>
      </w:r>
      <w:r w:rsidR="004305C2" w:rsidRPr="004A40A8">
        <w:t xml:space="preserve">. </w:t>
      </w:r>
    </w:p>
    <w:p w14:paraId="66E5FA35" w14:textId="4841F26B" w:rsidR="004305C2" w:rsidRPr="004A40A8" w:rsidRDefault="004305C2" w:rsidP="00E40F42">
      <w:pPr>
        <w:spacing w:after="0" w:line="240" w:lineRule="auto"/>
        <w:ind w:firstLine="720"/>
        <w:jc w:val="both"/>
      </w:pPr>
      <w:r w:rsidRPr="004A40A8">
        <w:t>Tāpat šādu</w:t>
      </w:r>
      <w:r w:rsidR="003F664F" w:rsidRPr="004A40A8">
        <w:t xml:space="preserve"> maza izmēra</w:t>
      </w:r>
      <w:r w:rsidRPr="004A40A8">
        <w:t xml:space="preserve"> bāzes staciju izvietošana būs ļoti aktuāla specifiskās vietās iekštelpās, kurā būtiski nodrošināt kvalitatīvu pārklājumu. Piemēram, pagrabos, cokolstāvos, autostāvvietās, tuneļos, ēku pārvados, specifiskās </w:t>
      </w:r>
      <w:r w:rsidRPr="004A40A8">
        <w:rPr>
          <w:noProof/>
        </w:rPr>
        <w:t>angārveida</w:t>
      </w:r>
      <w:r w:rsidRPr="004A40A8">
        <w:t xml:space="preserve"> būvēs (tajā skaitā, sporta hallēs un citās plašās telpās) un citos infrastruktūras objektos, kuros noturīgas intensitātes sakaru pārklājuma nodrošināšana var būt problemātiska.</w:t>
      </w:r>
    </w:p>
    <w:p w14:paraId="7C3F6A7E" w14:textId="0B322F09" w:rsidR="005D5F7C" w:rsidRPr="004A40A8" w:rsidRDefault="004305C2" w:rsidP="00D81ED5">
      <w:pPr>
        <w:spacing w:after="0" w:line="240" w:lineRule="auto"/>
        <w:ind w:firstLine="720"/>
        <w:jc w:val="both"/>
        <w:rPr>
          <w:rFonts w:eastAsia="Times New Roman"/>
          <w:szCs w:val="24"/>
        </w:rPr>
      </w:pPr>
      <w:r w:rsidRPr="004A40A8">
        <w:rPr>
          <w:rFonts w:eastAsia="Times New Roman"/>
          <w:szCs w:val="24"/>
        </w:rPr>
        <w:t xml:space="preserve">Pozitīvs </w:t>
      </w:r>
      <w:r w:rsidRPr="004A40A8">
        <w:rPr>
          <w:rFonts w:eastAsia="Times New Roman"/>
          <w:noProof/>
          <w:szCs w:val="24"/>
        </w:rPr>
        <w:t xml:space="preserve">piemērs ārtelpu tuvas darbības </w:t>
      </w:r>
      <w:r w:rsidR="00D81ED5" w:rsidRPr="004A40A8">
        <w:rPr>
          <w:rFonts w:eastAsia="Times New Roman"/>
          <w:noProof/>
          <w:szCs w:val="24"/>
        </w:rPr>
        <w:t xml:space="preserve">bezvadu </w:t>
      </w:r>
      <w:r w:rsidR="00D81ED5">
        <w:rPr>
          <w:rFonts w:eastAsia="Times New Roman"/>
          <w:noProof/>
          <w:szCs w:val="24"/>
        </w:rPr>
        <w:t xml:space="preserve">piekļuves </w:t>
      </w:r>
      <w:r w:rsidRPr="004A40A8">
        <w:rPr>
          <w:rFonts w:eastAsia="Times New Roman"/>
          <w:noProof/>
          <w:szCs w:val="24"/>
        </w:rPr>
        <w:t>punktu ieviešanai ir mobilo sakaru operator</w:t>
      </w:r>
      <w:r w:rsidR="00FB6084" w:rsidRPr="004A40A8">
        <w:rPr>
          <w:rFonts w:eastAsia="Times New Roman"/>
          <w:noProof/>
          <w:szCs w:val="24"/>
        </w:rPr>
        <w:t>u</w:t>
      </w:r>
      <w:r w:rsidRPr="004A40A8">
        <w:rPr>
          <w:rFonts w:eastAsia="Times New Roman"/>
          <w:noProof/>
          <w:szCs w:val="24"/>
        </w:rPr>
        <w:t xml:space="preserve"> sadarbība ar </w:t>
      </w:r>
      <w:r w:rsidR="00FB6084" w:rsidRPr="004A40A8">
        <w:rPr>
          <w:rFonts w:eastAsia="Times New Roman"/>
          <w:noProof/>
          <w:szCs w:val="24"/>
        </w:rPr>
        <w:t>aģentūru</w:t>
      </w:r>
      <w:r w:rsidR="008B75A0" w:rsidRPr="004A40A8">
        <w:rPr>
          <w:rFonts w:eastAsia="Times New Roman"/>
          <w:noProof/>
          <w:szCs w:val="24"/>
        </w:rPr>
        <w:t xml:space="preserve"> </w:t>
      </w:r>
      <w:r w:rsidR="003F664F" w:rsidRPr="004A40A8">
        <w:rPr>
          <w:rFonts w:eastAsia="Times New Roman"/>
          <w:noProof/>
          <w:szCs w:val="24"/>
        </w:rPr>
        <w:t>“</w:t>
      </w:r>
      <w:r w:rsidRPr="004A40A8">
        <w:rPr>
          <w:rFonts w:eastAsia="Times New Roman"/>
          <w:noProof/>
          <w:szCs w:val="24"/>
        </w:rPr>
        <w:t>Rīgas gaisma</w:t>
      </w:r>
      <w:r w:rsidR="003F664F" w:rsidRPr="004A40A8">
        <w:rPr>
          <w:rFonts w:eastAsia="Times New Roman"/>
          <w:noProof/>
          <w:szCs w:val="24"/>
        </w:rPr>
        <w:t>”</w:t>
      </w:r>
      <w:r w:rsidR="00514F92" w:rsidRPr="004A40A8">
        <w:rPr>
          <w:rFonts w:eastAsia="Times New Roman"/>
          <w:noProof/>
          <w:szCs w:val="24"/>
        </w:rPr>
        <w:t xml:space="preserve"> (iekļauta Rīgas valstspilsētas Ārtelpas</w:t>
      </w:r>
      <w:r w:rsidR="00514F92" w:rsidRPr="004A40A8">
        <w:rPr>
          <w:rFonts w:eastAsia="Times New Roman"/>
          <w:szCs w:val="24"/>
        </w:rPr>
        <w:t xml:space="preserve"> un mobilitātes departamentā)</w:t>
      </w:r>
      <w:r w:rsidRPr="004A40A8">
        <w:rPr>
          <w:rFonts w:eastAsia="Times New Roman"/>
          <w:szCs w:val="24"/>
        </w:rPr>
        <w:t xml:space="preserve"> platjoslas mobilo sakaru pārklājuma nodrošināšanai Upesciema un Berģu ielās Rīgas pilsētā – ilgu laiku šajās teritorijās netika nodrošināts mobilo sakaru pārklājums bāzes staciju vietas trūkuma dēļ. Tuvas darbības mobilo sakaru piekļuves punktu ierīkošana ilgu laiku bija vienīgā iespēja konkrētajā teritorijā nodrošināt sakaru pārklājumu.</w:t>
      </w:r>
    </w:p>
    <w:p w14:paraId="30B90DDC" w14:textId="59BD9122" w:rsidR="00D81ED5" w:rsidRPr="00D81ED5" w:rsidRDefault="00D81ED5" w:rsidP="00D81ED5">
      <w:pPr>
        <w:spacing w:after="0" w:line="240" w:lineRule="auto"/>
        <w:ind w:firstLine="720"/>
        <w:jc w:val="both"/>
        <w:rPr>
          <w:rFonts w:eastAsia="Times New Roman"/>
          <w:szCs w:val="24"/>
        </w:rPr>
      </w:pPr>
      <w:r w:rsidRPr="00D81ED5">
        <w:rPr>
          <w:rFonts w:eastAsia="Times New Roman"/>
        </w:rPr>
        <w:t xml:space="preserve">Atzīmējams, ka teritorijas plānojumā </w:t>
      </w:r>
      <w:r w:rsidRPr="00D81ED5">
        <w:rPr>
          <w:rFonts w:eastAsia="Times New Roman"/>
          <w:szCs w:val="24"/>
        </w:rPr>
        <w:t>tuvas darbības bezvadu piekļuves punkti</w:t>
      </w:r>
      <w:r w:rsidRPr="00D81ED5">
        <w:rPr>
          <w:rFonts w:eastAsia="Times New Roman"/>
        </w:rPr>
        <w:t xml:space="preserve"> netiek atspoguļoti to mēroga dēļ, kā arī Ministru kabineta 2013.</w:t>
      </w:r>
      <w:r w:rsidR="00D3634A">
        <w:rPr>
          <w:rFonts w:eastAsia="Times New Roman"/>
        </w:rPr>
        <w:t> </w:t>
      </w:r>
      <w:r w:rsidRPr="00D81ED5">
        <w:rPr>
          <w:rFonts w:eastAsia="Times New Roman"/>
        </w:rPr>
        <w:t>gada 30.</w:t>
      </w:r>
      <w:r w:rsidR="00D3634A">
        <w:rPr>
          <w:rFonts w:eastAsia="Times New Roman"/>
        </w:rPr>
        <w:t> </w:t>
      </w:r>
      <w:r w:rsidRPr="00D81ED5">
        <w:rPr>
          <w:rFonts w:eastAsia="Times New Roman"/>
        </w:rPr>
        <w:t>aprīļa noteikumu Nr.</w:t>
      </w:r>
      <w:r w:rsidR="00D3634A">
        <w:rPr>
          <w:rFonts w:eastAsia="Times New Roman"/>
        </w:rPr>
        <w:t> </w:t>
      </w:r>
      <w:r w:rsidRPr="00D81ED5">
        <w:rPr>
          <w:rFonts w:eastAsia="Times New Roman"/>
        </w:rPr>
        <w:t xml:space="preserve">240 </w:t>
      </w:r>
      <w:r w:rsidR="00D3634A">
        <w:rPr>
          <w:rFonts w:eastAsia="Times New Roman"/>
        </w:rPr>
        <w:t>“</w:t>
      </w:r>
      <w:r w:rsidRPr="00D81ED5">
        <w:rPr>
          <w:rFonts w:eastAsia="Times New Roman"/>
        </w:rPr>
        <w:t>Vispārīgie teritorijas plānošanas, izmantošanas un apbūves noteikumi</w:t>
      </w:r>
      <w:r w:rsidR="00D3634A">
        <w:rPr>
          <w:rFonts w:eastAsia="Times New Roman"/>
        </w:rPr>
        <w:t>”</w:t>
      </w:r>
      <w:r w:rsidRPr="00D81ED5">
        <w:rPr>
          <w:rFonts w:eastAsia="Times New Roman"/>
        </w:rPr>
        <w:t xml:space="preserve"> 5.</w:t>
      </w:r>
      <w:r w:rsidR="00D3634A">
        <w:rPr>
          <w:rFonts w:eastAsia="Times New Roman"/>
        </w:rPr>
        <w:t> </w:t>
      </w:r>
      <w:r w:rsidRPr="00D81ED5">
        <w:rPr>
          <w:rFonts w:eastAsia="Times New Roman"/>
        </w:rPr>
        <w:t>punkts noteic, ka inženiertīklu, tai skaitā elektronisko sakaru tīklu izvietošana atļauta visās teritorijās:</w:t>
      </w:r>
    </w:p>
    <w:p w14:paraId="46558897" w14:textId="5F5810FA" w:rsidR="00D81ED5" w:rsidRPr="00D81ED5" w:rsidRDefault="00D81ED5" w:rsidP="00D81ED5">
      <w:pPr>
        <w:pStyle w:val="ListParagraph"/>
        <w:spacing w:after="0" w:line="240" w:lineRule="auto"/>
        <w:jc w:val="both"/>
      </w:pPr>
      <w:r w:rsidRPr="00D81ED5">
        <w:t xml:space="preserve">5. ja pašvaldības teritorijas plānojumā (turpmāk – teritorijas plānojums) vai </w:t>
      </w:r>
      <w:r w:rsidRPr="00D81ED5">
        <w:rPr>
          <w:noProof/>
        </w:rPr>
        <w:t>lokālplānojumā,</w:t>
      </w:r>
      <w:r w:rsidRPr="00D81ED5">
        <w:t xml:space="preserve"> vai normatīvajos aktos dabas un vides aizsardzības jomā nav noteikts citādi, tad, lai nodrošinātu esošo un plānoto objektu funkcijas, visās teritorijās atļauta šāda izmantošana:</w:t>
      </w:r>
    </w:p>
    <w:p w14:paraId="5A65D043" w14:textId="77777777" w:rsidR="00D81ED5" w:rsidRPr="00D81ED5" w:rsidRDefault="00D81ED5" w:rsidP="00D81ED5">
      <w:pPr>
        <w:pStyle w:val="ListParagraph"/>
        <w:spacing w:after="0" w:line="240" w:lineRule="auto"/>
        <w:jc w:val="both"/>
      </w:pPr>
      <w:r w:rsidRPr="00D81ED5">
        <w:t>5.1. pašvaldību ceļu, komersantu ceļu, māju ceļu, ielu, piebrauktuvju, gājēju ielu un ceļu, velosipēdu ceļu izbūve, kā arī esošo ielu un ceļu (tai skaitā valsts autoceļu) pārbūve;</w:t>
      </w:r>
    </w:p>
    <w:p w14:paraId="0EF37827" w14:textId="77777777" w:rsidR="00D81ED5" w:rsidRPr="00D81ED5" w:rsidRDefault="00D81ED5" w:rsidP="00D81ED5">
      <w:pPr>
        <w:pStyle w:val="ListParagraph"/>
        <w:spacing w:after="0" w:line="240" w:lineRule="auto"/>
        <w:jc w:val="both"/>
      </w:pPr>
      <w:r w:rsidRPr="00D81ED5">
        <w:t>5.2. objektam nepieciešamo transportlīdzekļu stāvvietu izbūve;</w:t>
      </w:r>
    </w:p>
    <w:p w14:paraId="2D553388" w14:textId="77777777" w:rsidR="00D81ED5" w:rsidRPr="00D81ED5" w:rsidRDefault="00D81ED5" w:rsidP="00D81ED5">
      <w:pPr>
        <w:pStyle w:val="ListParagraph"/>
        <w:spacing w:after="0" w:line="240" w:lineRule="auto"/>
        <w:jc w:val="both"/>
      </w:pPr>
      <w:r w:rsidRPr="00D81ED5">
        <w:t>5.3. apstādījumu izveide un teritorijas labiekārtojums;</w:t>
      </w:r>
    </w:p>
    <w:p w14:paraId="38A6A732" w14:textId="77777777" w:rsidR="00D81ED5" w:rsidRPr="00D81ED5" w:rsidRDefault="00D81ED5" w:rsidP="00D81ED5">
      <w:pPr>
        <w:pStyle w:val="ListParagraph"/>
        <w:spacing w:after="0" w:line="240" w:lineRule="auto"/>
        <w:jc w:val="both"/>
      </w:pPr>
      <w:r w:rsidRPr="00D81ED5">
        <w:lastRenderedPageBreak/>
        <w:t>5.4. inženiertīklu un objektu izbūve;</w:t>
      </w:r>
    </w:p>
    <w:p w14:paraId="35DB6AA4" w14:textId="77777777" w:rsidR="00D81ED5" w:rsidRPr="00D81ED5" w:rsidRDefault="00D81ED5" w:rsidP="00D81ED5">
      <w:pPr>
        <w:pStyle w:val="ListParagraph"/>
        <w:spacing w:after="0" w:line="240" w:lineRule="auto"/>
        <w:jc w:val="both"/>
      </w:pPr>
      <w:r w:rsidRPr="00D81ED5">
        <w:t xml:space="preserve">5.5. erozijas risku ierobežošanas, </w:t>
      </w:r>
      <w:r w:rsidRPr="00D81ED5">
        <w:rPr>
          <w:noProof/>
        </w:rPr>
        <w:t xml:space="preserve">pretplūdu </w:t>
      </w:r>
      <w:r w:rsidRPr="00D81ED5">
        <w:t>aizsardzības būvju un meliorācijas sistēmu izbūve.</w:t>
      </w:r>
    </w:p>
    <w:p w14:paraId="569DC27E" w14:textId="4B21C246" w:rsidR="00E045D7" w:rsidRPr="004A40A8" w:rsidRDefault="00D81ED5" w:rsidP="00D81ED5">
      <w:pPr>
        <w:spacing w:after="0" w:line="240" w:lineRule="auto"/>
        <w:jc w:val="both"/>
      </w:pPr>
      <w:r>
        <w:t xml:space="preserve">           </w:t>
      </w:r>
      <w:r w:rsidR="00D3634A">
        <w:t>I</w:t>
      </w:r>
      <w:r w:rsidR="00E045D7" w:rsidRPr="004A40A8">
        <w:t>epriekšminētais labās prakses piemērs parāda veiksmīgu elektronisko sakaru operatoru sadarbību ar pašvaldībām, tādējādi veicinot operatorus vairāk iesaistīties teritorijas plānošanas procesā, ja tiem ir i</w:t>
      </w:r>
      <w:r w:rsidR="005456CD">
        <w:t>erosinājumi</w:t>
      </w:r>
      <w:r w:rsidR="00E045D7" w:rsidRPr="004A40A8">
        <w:t>, kas varētu tikt iestrādāt</w:t>
      </w:r>
      <w:r w:rsidR="005456CD">
        <w:t>i</w:t>
      </w:r>
      <w:r w:rsidR="00E045D7" w:rsidRPr="004A40A8">
        <w:t xml:space="preserve"> teritorijas plānojumā, </w:t>
      </w:r>
      <w:r w:rsidR="00E045D7" w:rsidRPr="004A40A8">
        <w:rPr>
          <w:noProof/>
        </w:rPr>
        <w:t>lokālplānojumā</w:t>
      </w:r>
      <w:r w:rsidR="00E045D7" w:rsidRPr="004A40A8">
        <w:t xml:space="preserve"> vai detālplānojumā. Pamatā tas būtu attiecināms uz vietu paredzēšanu augstas veiktspējas elektronisko sakaru tīkla infrastruktūras elementu (torņu, mastu, bāzes staciju u.c.) izvietošanai. Līdzšinējā pieredze parāda, ka elektronisko sakaru tīklu operatoru iesaiste teritorijas plānošanas procesā nav pietiekama. </w:t>
      </w:r>
    </w:p>
    <w:p w14:paraId="7D3B3E73" w14:textId="032F731E" w:rsidR="00E045D7" w:rsidRPr="004A40A8" w:rsidRDefault="00E045D7" w:rsidP="00E40F42">
      <w:pPr>
        <w:spacing w:after="0" w:line="240" w:lineRule="auto"/>
        <w:ind w:firstLine="720"/>
        <w:jc w:val="both"/>
      </w:pPr>
      <w:r w:rsidRPr="004A40A8">
        <w:t>Ņemot vērā minēto, secināms, ka tuvas darbības bezvadu piekļuves punktu efektīvai izvietošanai, kā arī</w:t>
      </w:r>
      <w:r w:rsidR="00592FE9">
        <w:t xml:space="preserve"> mobilo sakaru</w:t>
      </w:r>
      <w:r w:rsidRPr="004A40A8">
        <w:t xml:space="preserve"> bāzes staciju izvietošanai ir svarīgi gan tehniskie un normatīvie, gan teritorijas attīstības plānošanas aspekti, lai varētu ilgtspējīgi, efektīvi un racionāli izmantot teritoriju un citus resursus, sabalansējot elektronisko sakaru komersantu un iedzīvotāju intereses.</w:t>
      </w:r>
    </w:p>
    <w:p w14:paraId="48EFF9FA" w14:textId="77777777" w:rsidR="00E045D7" w:rsidRPr="004A40A8" w:rsidRDefault="00E045D7" w:rsidP="00E40F42">
      <w:pPr>
        <w:spacing w:after="0" w:line="240" w:lineRule="auto"/>
        <w:jc w:val="both"/>
        <w:rPr>
          <w:b/>
          <w:bCs/>
        </w:rPr>
      </w:pPr>
    </w:p>
    <w:p w14:paraId="40D9C859" w14:textId="66AA2EB1" w:rsidR="007B2C2A" w:rsidRPr="004A40A8" w:rsidRDefault="007B2C2A" w:rsidP="00E40F42">
      <w:pPr>
        <w:spacing w:after="0" w:line="240" w:lineRule="auto"/>
        <w:jc w:val="both"/>
        <w:rPr>
          <w:b/>
          <w:bCs/>
        </w:rPr>
      </w:pPr>
      <w:r w:rsidRPr="004A40A8">
        <w:rPr>
          <w:b/>
          <w:bCs/>
        </w:rPr>
        <w:t>Ieteikumi</w:t>
      </w:r>
      <w:r w:rsidR="006A6AE0">
        <w:rPr>
          <w:b/>
          <w:bCs/>
        </w:rPr>
        <w:t>:</w:t>
      </w:r>
    </w:p>
    <w:p w14:paraId="00FF123A" w14:textId="70FD4F58" w:rsidR="003B42C1" w:rsidRPr="004A40A8" w:rsidRDefault="003B42C1" w:rsidP="00E40F42">
      <w:pPr>
        <w:spacing w:after="0" w:line="240" w:lineRule="auto"/>
        <w:ind w:firstLine="720"/>
        <w:jc w:val="both"/>
      </w:pPr>
      <w:r w:rsidRPr="004A40A8">
        <w:t>Lai veicinātu tuvas darbības bezvadu piekļuves punktu ierīkošanu, nepieciešams:</w:t>
      </w:r>
    </w:p>
    <w:p w14:paraId="271A2DD8" w14:textId="5D385817" w:rsidR="003B42C1" w:rsidRPr="004A40A8" w:rsidRDefault="00FD6903" w:rsidP="00E40F42">
      <w:pPr>
        <w:pStyle w:val="ListParagraph"/>
        <w:numPr>
          <w:ilvl w:val="0"/>
          <w:numId w:val="15"/>
        </w:numPr>
        <w:spacing w:after="0" w:line="240" w:lineRule="auto"/>
        <w:jc w:val="both"/>
      </w:pPr>
      <w:r>
        <w:t>fiziskās infrastruktūras</w:t>
      </w:r>
      <w:r w:rsidR="003B42C1" w:rsidRPr="004A40A8">
        <w:t xml:space="preserve"> objektu īpašniekiem nodrošināt vienkāršotu sadarbību ar elektronisko sakaru komersantiem (piemēram, vienotas veidlapas pieteikumi tīmekļa vietnē, </w:t>
      </w:r>
      <w:r w:rsidR="003B42C1" w:rsidRPr="004A40A8">
        <w:rPr>
          <w:noProof/>
        </w:rPr>
        <w:t xml:space="preserve">proaktīvi </w:t>
      </w:r>
      <w:r w:rsidR="003B42C1" w:rsidRPr="004A40A8">
        <w:t>nodrošināt informāciju par kontaktpersonām u.tml.);</w:t>
      </w:r>
    </w:p>
    <w:p w14:paraId="325D6EC4" w14:textId="5DB819E9" w:rsidR="003B42C1" w:rsidRPr="004A40A8" w:rsidRDefault="00D06135" w:rsidP="00E40F42">
      <w:pPr>
        <w:pStyle w:val="ListParagraph"/>
        <w:numPr>
          <w:ilvl w:val="0"/>
          <w:numId w:val="15"/>
        </w:numPr>
        <w:spacing w:after="0" w:line="240" w:lineRule="auto"/>
        <w:jc w:val="both"/>
        <w:rPr>
          <w:color w:val="000000" w:themeColor="text1"/>
        </w:rPr>
      </w:pPr>
      <w:r>
        <w:rPr>
          <w:color w:val="000000" w:themeColor="text1"/>
        </w:rPr>
        <w:t>fiziskās infrastruktūras</w:t>
      </w:r>
      <w:r w:rsidR="003B42C1" w:rsidRPr="004A40A8">
        <w:rPr>
          <w:color w:val="000000" w:themeColor="text1"/>
        </w:rPr>
        <w:t xml:space="preserve"> objektu īpašniekiem </w:t>
      </w:r>
      <w:r w:rsidR="003B42C1" w:rsidRPr="004A40A8">
        <w:rPr>
          <w:color w:val="000000" w:themeColor="text1"/>
          <w:szCs w:val="24"/>
        </w:rPr>
        <w:t xml:space="preserve">atbalstīt tādu sadarbības modeli, ar kuru iesaistītu elektronisko sakaru komersantus infrastruktūras objektu modernizēšanā (piem., remontējot vai atjaunot apgaismes stabus, lai varētu izvietot </w:t>
      </w:r>
      <w:r w:rsidR="003B42C1" w:rsidRPr="004A40A8">
        <w:rPr>
          <w:color w:val="000000" w:themeColor="text1"/>
        </w:rPr>
        <w:t xml:space="preserve">tuvas darbības bezvadu piekļuves punktu </w:t>
      </w:r>
      <w:r w:rsidR="003B42C1" w:rsidRPr="004A40A8">
        <w:rPr>
          <w:color w:val="000000" w:themeColor="text1"/>
          <w:szCs w:val="24"/>
        </w:rPr>
        <w:t>elementus).</w:t>
      </w:r>
    </w:p>
    <w:p w14:paraId="24AC916B" w14:textId="77777777" w:rsidR="005D5F7C" w:rsidRPr="004A40A8" w:rsidRDefault="005D5F7C" w:rsidP="00E40F42">
      <w:pPr>
        <w:spacing w:after="0" w:line="240" w:lineRule="auto"/>
        <w:jc w:val="both"/>
        <w:rPr>
          <w:rFonts w:eastAsia="Times New Roman"/>
          <w:i/>
          <w:szCs w:val="24"/>
        </w:rPr>
      </w:pPr>
    </w:p>
    <w:p w14:paraId="19A0A710" w14:textId="4251D303" w:rsidR="004305C2" w:rsidRPr="004A40A8" w:rsidRDefault="00117895" w:rsidP="00E40F42">
      <w:pPr>
        <w:pStyle w:val="Heading2"/>
        <w:numPr>
          <w:ilvl w:val="1"/>
          <w:numId w:val="25"/>
        </w:numPr>
        <w:spacing w:before="0" w:after="0" w:line="240" w:lineRule="auto"/>
        <w:rPr>
          <w:rFonts w:ascii="Times New Roman" w:eastAsia="Aptos" w:hAnsi="Times New Roman" w:cs="Times New Roman"/>
          <w:b/>
          <w:bCs/>
          <w:color w:val="auto"/>
          <w:sz w:val="24"/>
          <w:szCs w:val="24"/>
        </w:rPr>
      </w:pPr>
      <w:bookmarkStart w:id="13" w:name="_Toc215730736"/>
      <w:r w:rsidRPr="004A40A8">
        <w:rPr>
          <w:rFonts w:ascii="Times New Roman" w:hAnsi="Times New Roman" w:cs="Times New Roman"/>
          <w:b/>
          <w:bCs/>
          <w:color w:val="auto"/>
          <w:sz w:val="24"/>
          <w:szCs w:val="24"/>
        </w:rPr>
        <w:t>S</w:t>
      </w:r>
      <w:r w:rsidR="004305C2" w:rsidRPr="004A40A8">
        <w:rPr>
          <w:rFonts w:ascii="Times New Roman" w:hAnsi="Times New Roman" w:cs="Times New Roman"/>
          <w:b/>
          <w:bCs/>
          <w:color w:val="auto"/>
          <w:sz w:val="24"/>
          <w:szCs w:val="24"/>
        </w:rPr>
        <w:t>adarbība</w:t>
      </w:r>
      <w:r w:rsidR="0049642C" w:rsidRPr="004A40A8">
        <w:rPr>
          <w:rFonts w:ascii="Times New Roman" w:hAnsi="Times New Roman" w:cs="Times New Roman"/>
          <w:b/>
          <w:bCs/>
          <w:color w:val="auto"/>
          <w:sz w:val="24"/>
          <w:szCs w:val="24"/>
        </w:rPr>
        <w:t>s veidi</w:t>
      </w:r>
      <w:r w:rsidR="004305C2" w:rsidRPr="004A40A8">
        <w:rPr>
          <w:rFonts w:ascii="Times New Roman" w:hAnsi="Times New Roman" w:cs="Times New Roman"/>
          <w:b/>
          <w:bCs/>
          <w:color w:val="auto"/>
          <w:sz w:val="24"/>
          <w:szCs w:val="24"/>
        </w:rPr>
        <w:t xml:space="preserve"> ar nekustamā īpašuma īpašniek</w:t>
      </w:r>
      <w:r w:rsidR="000E244E" w:rsidRPr="004A40A8">
        <w:rPr>
          <w:rFonts w:ascii="Times New Roman" w:hAnsi="Times New Roman" w:cs="Times New Roman"/>
          <w:b/>
          <w:bCs/>
          <w:color w:val="auto"/>
          <w:sz w:val="24"/>
          <w:szCs w:val="24"/>
        </w:rPr>
        <w:t>u vai pārvaldītāju</w:t>
      </w:r>
      <w:bookmarkEnd w:id="13"/>
    </w:p>
    <w:p w14:paraId="02E5C378" w14:textId="41F20FA7" w:rsidR="004305C2" w:rsidRPr="004A40A8" w:rsidRDefault="004305C2" w:rsidP="00E40F42">
      <w:pPr>
        <w:spacing w:after="0" w:line="240" w:lineRule="auto"/>
        <w:ind w:firstLine="720"/>
        <w:jc w:val="both"/>
      </w:pPr>
      <w:r w:rsidRPr="004A40A8">
        <w:rPr>
          <w:rFonts w:eastAsia="Aptos" w:cs="Times New Roman"/>
          <w:szCs w:val="24"/>
        </w:rPr>
        <w:t>Š</w:t>
      </w:r>
      <w:r w:rsidR="00C5238D" w:rsidRPr="004A40A8">
        <w:rPr>
          <w:rFonts w:eastAsia="Aptos" w:cs="Times New Roman"/>
          <w:szCs w:val="24"/>
        </w:rPr>
        <w:t>ajā sadaļā ir sniegts skaidrojums</w:t>
      </w:r>
      <w:r w:rsidRPr="004A40A8">
        <w:rPr>
          <w:rFonts w:eastAsia="Aptos" w:cs="Times New Roman"/>
          <w:szCs w:val="24"/>
        </w:rPr>
        <w:t xml:space="preserve"> normatīvajos aktos</w:t>
      </w:r>
      <w:r w:rsidR="00C242A9" w:rsidRPr="004A40A8">
        <w:rPr>
          <w:rFonts w:eastAsia="Aptos" w:cs="Times New Roman"/>
          <w:szCs w:val="24"/>
        </w:rPr>
        <w:t>, tostarp Gigabitu regulā</w:t>
      </w:r>
      <w:r w:rsidRPr="004A40A8">
        <w:rPr>
          <w:rFonts w:eastAsia="Aptos" w:cs="Times New Roman"/>
          <w:szCs w:val="24"/>
        </w:rPr>
        <w:t xml:space="preserve"> </w:t>
      </w:r>
      <w:r w:rsidR="000E244E" w:rsidRPr="004A40A8">
        <w:rPr>
          <w:rFonts w:eastAsia="Aptos" w:cs="Times New Roman"/>
          <w:szCs w:val="24"/>
        </w:rPr>
        <w:t>noteiktajam procesam</w:t>
      </w:r>
      <w:r w:rsidRPr="004A40A8">
        <w:rPr>
          <w:rFonts w:eastAsia="Aptos" w:cs="Times New Roman"/>
          <w:szCs w:val="24"/>
        </w:rPr>
        <w:t xml:space="preserve"> </w:t>
      </w:r>
      <w:r w:rsidRPr="004A40A8">
        <w:t xml:space="preserve">tuvas darbības bezvadu piekļuves punktu ierīkošanai, norādot elektronisko sakaru </w:t>
      </w:r>
      <w:r w:rsidR="000E244E" w:rsidRPr="004A40A8">
        <w:t>komersantu</w:t>
      </w:r>
      <w:r w:rsidRPr="004A40A8">
        <w:t xml:space="preserve"> un nekustamā īpašuma īpašnieka vai pārvald</w:t>
      </w:r>
      <w:r w:rsidR="0082179D" w:rsidRPr="004A40A8">
        <w:t>ītāja</w:t>
      </w:r>
      <w:r w:rsidRPr="004A40A8">
        <w:t xml:space="preserve"> sadarbības veidus</w:t>
      </w:r>
      <w:r w:rsidR="00C242A9" w:rsidRPr="004A40A8">
        <w:t>.</w:t>
      </w:r>
    </w:p>
    <w:p w14:paraId="69005E76" w14:textId="77777777" w:rsidR="00273198" w:rsidRDefault="004305C2" w:rsidP="003C4B90">
      <w:pPr>
        <w:spacing w:after="0" w:line="240" w:lineRule="auto"/>
        <w:jc w:val="both"/>
        <w:rPr>
          <w:rFonts w:eastAsia="Aptos" w:cs="Times New Roman"/>
        </w:rPr>
      </w:pPr>
      <w:r w:rsidRPr="004A40A8">
        <w:t xml:space="preserve"> </w:t>
      </w:r>
      <w:r w:rsidR="003C4B90">
        <w:tab/>
      </w:r>
      <w:r w:rsidRPr="004A40A8">
        <w:rPr>
          <w:rFonts w:eastAsia="Aptos" w:cs="Times New Roman"/>
        </w:rPr>
        <w:t>Tuvas darbības bezvadu piekļuves punktus elektronisko sakaru</w:t>
      </w:r>
      <w:r w:rsidR="00C5238D" w:rsidRPr="004A40A8">
        <w:rPr>
          <w:rFonts w:eastAsia="Aptos" w:cs="Times New Roman"/>
        </w:rPr>
        <w:t xml:space="preserve"> komersanti</w:t>
      </w:r>
      <w:r w:rsidRPr="004A40A8">
        <w:rPr>
          <w:rFonts w:eastAsia="Aptos" w:cs="Times New Roman"/>
        </w:rPr>
        <w:t xml:space="preserve"> izvieto</w:t>
      </w:r>
      <w:r w:rsidR="000E244E" w:rsidRPr="004A40A8">
        <w:rPr>
          <w:rFonts w:eastAsia="Aptos" w:cs="Times New Roman"/>
        </w:rPr>
        <w:t>,</w:t>
      </w:r>
      <w:r w:rsidRPr="004A40A8">
        <w:rPr>
          <w:rFonts w:eastAsia="Aptos" w:cs="Times New Roman"/>
        </w:rPr>
        <w:t xml:space="preserve"> saskaņojot</w:t>
      </w:r>
      <w:r w:rsidR="003677B6" w:rsidRPr="004A40A8">
        <w:rPr>
          <w:rFonts w:eastAsia="Aptos" w:cs="Times New Roman"/>
        </w:rPr>
        <w:t xml:space="preserve"> to</w:t>
      </w:r>
      <w:r w:rsidRPr="004A40A8">
        <w:rPr>
          <w:rFonts w:eastAsia="Aptos" w:cs="Times New Roman"/>
        </w:rPr>
        <w:t xml:space="preserve"> ar nekustamā īpašuma īpašnieku vai</w:t>
      </w:r>
      <w:r w:rsidR="003677B6" w:rsidRPr="004A40A8">
        <w:rPr>
          <w:rFonts w:eastAsia="Aptos" w:cs="Times New Roman"/>
        </w:rPr>
        <w:t xml:space="preserve"> informējot nekustamā īpašuma īpašnieku</w:t>
      </w:r>
      <w:r w:rsidRPr="004A40A8">
        <w:rPr>
          <w:rFonts w:eastAsia="Aptos" w:cs="Times New Roman"/>
        </w:rPr>
        <w:t xml:space="preserve"> gadījumos, kas noteikti Elektronisko sakaru likuma  28.</w:t>
      </w:r>
      <w:r w:rsidR="00054152" w:rsidRPr="004A40A8">
        <w:rPr>
          <w:rFonts w:eastAsia="Aptos" w:cs="Times New Roman"/>
        </w:rPr>
        <w:t> </w:t>
      </w:r>
      <w:r w:rsidRPr="004A40A8">
        <w:rPr>
          <w:rFonts w:eastAsia="Aptos" w:cs="Times New Roman"/>
        </w:rPr>
        <w:t>panta sestajā daļā.</w:t>
      </w:r>
    </w:p>
    <w:p w14:paraId="4A5156CF" w14:textId="35DA388B" w:rsidR="004305C2" w:rsidRPr="004A40A8" w:rsidRDefault="00273198" w:rsidP="00273198">
      <w:pPr>
        <w:spacing w:after="0" w:line="240" w:lineRule="auto"/>
        <w:ind w:firstLine="720"/>
        <w:jc w:val="both"/>
        <w:rPr>
          <w:rFonts w:eastAsia="Aptos" w:cs="Times New Roman"/>
        </w:rPr>
      </w:pPr>
      <w:r>
        <w:rPr>
          <w:rFonts w:eastAsia="Aptos" w:cs="Times New Roman"/>
        </w:rPr>
        <w:t xml:space="preserve">Saskaņā ar Aizsargjoslu likuma 14. panta otro </w:t>
      </w:r>
      <w:r>
        <w:rPr>
          <w:rFonts w:eastAsia="Aptos" w:cs="Times New Roman"/>
          <w:noProof/>
        </w:rPr>
        <w:t>prim</w:t>
      </w:r>
      <w:r>
        <w:rPr>
          <w:rFonts w:eastAsia="Aptos" w:cs="Times New Roman"/>
        </w:rPr>
        <w:t xml:space="preserve"> daļu a</w:t>
      </w:r>
      <w:r w:rsidRPr="00273198">
        <w:rPr>
          <w:rFonts w:eastAsia="Aptos" w:cs="Times New Roman"/>
        </w:rPr>
        <w:t>izsargjoslas</w:t>
      </w:r>
      <w:r>
        <w:rPr>
          <w:rFonts w:eastAsia="Aptos" w:cs="Times New Roman"/>
        </w:rPr>
        <w:t xml:space="preserve"> ir noteiktas</w:t>
      </w:r>
      <w:r w:rsidRPr="00273198">
        <w:rPr>
          <w:rFonts w:eastAsia="Aptos" w:cs="Times New Roman"/>
        </w:rPr>
        <w:t xml:space="preserve"> ap elektronisko sakaru tīklu radiosakaru līniju torņiem, antenu mastiem un to atsaitēm</w:t>
      </w:r>
      <w:r>
        <w:rPr>
          <w:rFonts w:eastAsia="Aptos" w:cs="Times New Roman"/>
        </w:rPr>
        <w:t>, bet ap mobilo sakaru bāzes staciju iekārtām un tuvas darbības bezvadu piekļuves punktiem šobrīd nav noteiktas.</w:t>
      </w:r>
      <w:r w:rsidR="004305C2" w:rsidRPr="004A40A8">
        <w:rPr>
          <w:rFonts w:eastAsia="Aptos" w:cs="Times New Roman"/>
        </w:rPr>
        <w:t xml:space="preserve"> </w:t>
      </w:r>
    </w:p>
    <w:p w14:paraId="2D7C1206" w14:textId="77777777" w:rsidR="004305C2" w:rsidRPr="004A40A8" w:rsidRDefault="004305C2" w:rsidP="00E40F42">
      <w:pPr>
        <w:pStyle w:val="ListParagraph"/>
        <w:spacing w:after="0" w:line="240" w:lineRule="auto"/>
        <w:ind w:left="284"/>
        <w:contextualSpacing w:val="0"/>
        <w:jc w:val="both"/>
        <w:rPr>
          <w:rFonts w:ascii="Arial" w:hAnsi="Arial" w:cs="Arial"/>
          <w:color w:val="414142"/>
          <w:sz w:val="20"/>
          <w:szCs w:val="20"/>
        </w:rPr>
      </w:pPr>
    </w:p>
    <w:p w14:paraId="0BCC4D52" w14:textId="75DFFE2F" w:rsidR="004305C2" w:rsidRPr="004A40A8" w:rsidRDefault="004305C2" w:rsidP="00E40F42">
      <w:pPr>
        <w:spacing w:after="0" w:line="240" w:lineRule="auto"/>
        <w:jc w:val="both"/>
        <w:rPr>
          <w:rFonts w:eastAsia="Aptos" w:cs="Times New Roman"/>
          <w:b/>
        </w:rPr>
      </w:pPr>
      <w:r w:rsidRPr="004A40A8">
        <w:rPr>
          <w:rFonts w:eastAsia="Aptos" w:cs="Times New Roman"/>
          <w:b/>
          <w:bCs/>
          <w:szCs w:val="24"/>
        </w:rPr>
        <w:t>1.solis</w:t>
      </w:r>
      <w:r w:rsidR="00B14CB3" w:rsidRPr="004A40A8">
        <w:rPr>
          <w:rFonts w:eastAsia="Aptos" w:cs="Times New Roman"/>
          <w:b/>
          <w:bCs/>
          <w:szCs w:val="24"/>
        </w:rPr>
        <w:t xml:space="preserve">  </w:t>
      </w:r>
    </w:p>
    <w:p w14:paraId="37BEEDCC" w14:textId="25CC8EED" w:rsidR="004305C2" w:rsidRPr="004A40A8" w:rsidRDefault="004305C2" w:rsidP="00E40F42">
      <w:pPr>
        <w:spacing w:after="0" w:line="240" w:lineRule="auto"/>
        <w:ind w:firstLine="720"/>
        <w:jc w:val="both"/>
        <w:rPr>
          <w:rFonts w:eastAsia="Aptos" w:cs="Times New Roman"/>
        </w:rPr>
      </w:pPr>
      <w:r w:rsidRPr="004A40A8">
        <w:rPr>
          <w:rFonts w:eastAsia="Aptos" w:cs="Times New Roman"/>
        </w:rPr>
        <w:t xml:space="preserve">Elektronisko sakaru </w:t>
      </w:r>
      <w:r w:rsidR="003677B6" w:rsidRPr="004A40A8">
        <w:rPr>
          <w:rFonts w:eastAsia="Aptos" w:cs="Times New Roman"/>
        </w:rPr>
        <w:t>komersants</w:t>
      </w:r>
      <w:r w:rsidRPr="004A40A8">
        <w:rPr>
          <w:rFonts w:eastAsia="Aptos" w:cs="Times New Roman"/>
        </w:rPr>
        <w:t xml:space="preserve"> izvēlas </w:t>
      </w:r>
      <w:r w:rsidR="009142C4" w:rsidRPr="004A40A8">
        <w:rPr>
          <w:rFonts w:eastAsia="Aptos" w:cs="Times New Roman"/>
        </w:rPr>
        <w:t xml:space="preserve">fizisko </w:t>
      </w:r>
      <w:r w:rsidRPr="004A40A8">
        <w:rPr>
          <w:rFonts w:eastAsia="Aptos" w:cs="Times New Roman"/>
        </w:rPr>
        <w:t>infrastruktūru</w:t>
      </w:r>
      <w:r w:rsidR="009142C4" w:rsidRPr="004A40A8">
        <w:rPr>
          <w:rStyle w:val="FootnoteReference"/>
          <w:rFonts w:eastAsia="Aptos" w:cs="Times New Roman"/>
        </w:rPr>
        <w:footnoteReference w:id="13"/>
      </w:r>
      <w:r w:rsidRPr="004A40A8">
        <w:rPr>
          <w:rFonts w:eastAsia="Aptos" w:cs="Times New Roman"/>
        </w:rPr>
        <w:t xml:space="preserve"> vai ģeogrāfisko teritoriju, kurā ir paredzējis ierīkot tuvas darbības bezvadu piekļuves punktu (arī kā </w:t>
      </w:r>
      <w:r w:rsidRPr="004A40A8">
        <w:rPr>
          <w:rFonts w:eastAsia="Aptos" w:cs="Times New Roman"/>
        </w:rPr>
        <w:lastRenderedPageBreak/>
        <w:t>iecerētā ierīkošanas vieta – fizisk</w:t>
      </w:r>
      <w:r w:rsidR="00514F92" w:rsidRPr="004A40A8">
        <w:rPr>
          <w:rFonts w:eastAsia="Aptos" w:cs="Times New Roman"/>
        </w:rPr>
        <w:t>ā</w:t>
      </w:r>
      <w:r w:rsidRPr="004A40A8">
        <w:rPr>
          <w:rFonts w:eastAsia="Aptos" w:cs="Times New Roman"/>
        </w:rPr>
        <w:t xml:space="preserve"> infrastruktūra, iekštelpas, </w:t>
      </w:r>
      <w:r w:rsidRPr="004A40A8">
        <w:rPr>
          <w:rFonts w:eastAsia="Aptos" w:cs="Times New Roman"/>
          <w:noProof/>
        </w:rPr>
        <w:t>ārtelpas</w:t>
      </w:r>
      <w:r w:rsidRPr="004A40A8">
        <w:rPr>
          <w:rStyle w:val="FootnoteReference"/>
          <w:rFonts w:eastAsia="Aptos" w:cs="Times New Roman"/>
        </w:rPr>
        <w:footnoteReference w:id="14"/>
      </w:r>
      <w:r w:rsidRPr="004A40A8">
        <w:rPr>
          <w:rFonts w:eastAsia="Aptos" w:cs="Times New Roman"/>
        </w:rPr>
        <w:t xml:space="preserve">). Lai pārliecinātos, ka iecerētā vieta ir piemērota tuvas darbības bezvadu piekļuves punkta uzstādīšanai, elektronisko sakaru </w:t>
      </w:r>
      <w:r w:rsidR="0055092F" w:rsidRPr="004A40A8">
        <w:rPr>
          <w:rFonts w:eastAsia="Aptos" w:cs="Times New Roman"/>
        </w:rPr>
        <w:t>komersantam</w:t>
      </w:r>
      <w:r w:rsidRPr="004A40A8">
        <w:rPr>
          <w:rFonts w:eastAsia="Aptos" w:cs="Times New Roman"/>
        </w:rPr>
        <w:t xml:space="preserve">, sagatavojot rakstveida pieprasījumu, ir tiesības pieprasīt </w:t>
      </w:r>
      <w:r w:rsidR="0049642C" w:rsidRPr="004A40A8">
        <w:t>Fiziskās infrastruktūras īpašniek</w:t>
      </w:r>
      <w:r w:rsidR="00514F92" w:rsidRPr="004A40A8">
        <w:t>am</w:t>
      </w:r>
      <w:r w:rsidR="0049642C" w:rsidRPr="004A40A8">
        <w:t xml:space="preserve"> vai pārvaldītāj</w:t>
      </w:r>
      <w:r w:rsidR="00514F92" w:rsidRPr="004A40A8">
        <w:t>am</w:t>
      </w:r>
      <w:r w:rsidR="0049642C" w:rsidRPr="004A40A8">
        <w:rPr>
          <w:rFonts w:eastAsia="Aptos" w:cs="Times New Roman"/>
        </w:rPr>
        <w:t xml:space="preserve"> (turpmāk</w:t>
      </w:r>
      <w:r w:rsidR="00437344">
        <w:rPr>
          <w:rFonts w:eastAsia="Aptos" w:cs="Times New Roman"/>
        </w:rPr>
        <w:t> </w:t>
      </w:r>
      <w:r w:rsidR="0049642C" w:rsidRPr="004A40A8">
        <w:rPr>
          <w:rFonts w:eastAsia="Aptos" w:cs="Times New Roman"/>
        </w:rPr>
        <w:t>–</w:t>
      </w:r>
      <w:r w:rsidR="00437344">
        <w:rPr>
          <w:rFonts w:eastAsia="Aptos" w:cs="Times New Roman"/>
        </w:rPr>
        <w:t> </w:t>
      </w:r>
      <w:bookmarkStart w:id="14" w:name="_Hlk213069116"/>
      <w:r w:rsidR="00B17428">
        <w:rPr>
          <w:rFonts w:eastAsia="Aptos" w:cs="Times New Roman"/>
        </w:rPr>
        <w:t>fiziskās infrastruktūras īpašnieks vai pārvaldītājs</w:t>
      </w:r>
      <w:bookmarkEnd w:id="14"/>
      <w:r w:rsidR="0049642C" w:rsidRPr="004A40A8">
        <w:rPr>
          <w:rFonts w:eastAsia="Aptos" w:cs="Times New Roman"/>
        </w:rPr>
        <w:t>)</w:t>
      </w:r>
      <w:r w:rsidR="003C56C3" w:rsidRPr="004A40A8">
        <w:rPr>
          <w:rStyle w:val="FootnoteReference"/>
          <w:rFonts w:eastAsia="Aptos" w:cs="Times New Roman"/>
        </w:rPr>
        <w:footnoteReference w:id="15"/>
      </w:r>
      <w:r w:rsidRPr="004A40A8">
        <w:rPr>
          <w:rFonts w:eastAsia="Aptos" w:cs="Times New Roman"/>
        </w:rPr>
        <w:t xml:space="preserve">: </w:t>
      </w:r>
    </w:p>
    <w:p w14:paraId="32B58EFD" w14:textId="121939D8" w:rsidR="004305C2" w:rsidRPr="004A40A8" w:rsidRDefault="004305C2" w:rsidP="00E40F42">
      <w:pPr>
        <w:pStyle w:val="ListParagraph"/>
        <w:numPr>
          <w:ilvl w:val="0"/>
          <w:numId w:val="22"/>
        </w:numPr>
        <w:spacing w:after="0" w:line="240" w:lineRule="auto"/>
        <w:jc w:val="both"/>
        <w:rPr>
          <w:rFonts w:eastAsia="Aptos" w:cs="Times New Roman"/>
        </w:rPr>
      </w:pPr>
      <w:r w:rsidRPr="004A40A8">
        <w:rPr>
          <w:rFonts w:eastAsia="Aptos" w:cs="Times New Roman"/>
        </w:rPr>
        <w:t>informāciju par nepieciešamās infrastruktūras atrašanās vietu, infrastruktūras veidu, pašreizējo izmantošanu, izmantošanas līmeni, kontaktinformāciju.  Piemēram, informāciju par noteiktu jumta, balstu nestspēju, kapacitāti, materiālu specifikāciju, infrastruktūras vecumu, nolietojumu u</w:t>
      </w:r>
      <w:r w:rsidR="00437344">
        <w:rPr>
          <w:rFonts w:eastAsia="Aptos" w:cs="Times New Roman"/>
        </w:rPr>
        <w:t>.</w:t>
      </w:r>
      <w:r w:rsidR="00166EA5" w:rsidRPr="004A40A8">
        <w:rPr>
          <w:rFonts w:eastAsia="Aptos" w:cs="Times New Roman"/>
        </w:rPr>
        <w:t>tml.</w:t>
      </w:r>
      <w:r w:rsidR="003C4B90">
        <w:rPr>
          <w:rFonts w:eastAsia="Aptos" w:cs="Times New Roman"/>
        </w:rPr>
        <w:t>;</w:t>
      </w:r>
    </w:p>
    <w:p w14:paraId="7A3B5E9E" w14:textId="2700190E" w:rsidR="004305C2" w:rsidRPr="004A40A8" w:rsidRDefault="004305C2" w:rsidP="00E40F42">
      <w:pPr>
        <w:pStyle w:val="ListParagraph"/>
        <w:numPr>
          <w:ilvl w:val="0"/>
          <w:numId w:val="22"/>
        </w:numPr>
        <w:spacing w:after="0" w:line="240" w:lineRule="auto"/>
        <w:jc w:val="both"/>
        <w:rPr>
          <w:rFonts w:eastAsia="Aptos" w:cs="Times New Roman"/>
        </w:rPr>
      </w:pPr>
      <w:r w:rsidRPr="004A40A8">
        <w:rPr>
          <w:rFonts w:eastAsia="Aptos" w:cs="Times New Roman"/>
        </w:rPr>
        <w:t xml:space="preserve">iecerētās ierīkošanas vietas klātienes </w:t>
      </w:r>
      <w:proofErr w:type="spellStart"/>
      <w:r w:rsidRPr="004A40A8">
        <w:rPr>
          <w:rFonts w:eastAsia="Aptos" w:cs="Times New Roman"/>
        </w:rPr>
        <w:t>apsekojum</w:t>
      </w:r>
      <w:r w:rsidR="00166EA5" w:rsidRPr="004A40A8">
        <w:rPr>
          <w:rFonts w:eastAsia="Aptos" w:cs="Times New Roman"/>
        </w:rPr>
        <w:t>u</w:t>
      </w:r>
      <w:proofErr w:type="spellEnd"/>
      <w:r w:rsidRPr="004A40A8">
        <w:rPr>
          <w:rFonts w:eastAsia="Aptos" w:cs="Times New Roman"/>
        </w:rPr>
        <w:t xml:space="preserve">. </w:t>
      </w:r>
    </w:p>
    <w:p w14:paraId="52A9C404" w14:textId="77777777" w:rsidR="004305C2" w:rsidRPr="004A40A8" w:rsidRDefault="004305C2" w:rsidP="00E40F42">
      <w:pPr>
        <w:pStyle w:val="ListParagraph"/>
        <w:spacing w:after="0" w:line="240" w:lineRule="auto"/>
        <w:ind w:left="0"/>
        <w:rPr>
          <w:rFonts w:eastAsia="Aptos" w:cs="Times New Roman"/>
        </w:rPr>
      </w:pPr>
    </w:p>
    <w:p w14:paraId="55D1A797" w14:textId="0CC2CCDB" w:rsidR="004305C2" w:rsidRPr="004A40A8" w:rsidRDefault="004305C2" w:rsidP="00E40F42">
      <w:pPr>
        <w:pStyle w:val="ListParagraph"/>
        <w:spacing w:after="0" w:line="240" w:lineRule="auto"/>
        <w:ind w:left="0" w:firstLine="720"/>
        <w:jc w:val="both"/>
        <w:rPr>
          <w:rFonts w:eastAsia="Aptos" w:cs="Times New Roman"/>
        </w:rPr>
      </w:pPr>
      <w:r w:rsidRPr="004A40A8">
        <w:rPr>
          <w:rFonts w:eastAsia="Aptos" w:cs="Times New Roman"/>
        </w:rPr>
        <w:t xml:space="preserve">Elektronisko sakaru komersants iesniedz rakstveida pieteikumu </w:t>
      </w:r>
      <w:r w:rsidR="00980054">
        <w:rPr>
          <w:rFonts w:eastAsia="Aptos" w:cs="Times New Roman"/>
        </w:rPr>
        <w:t>fiziskās infrastruktūras īpašnieka vai pārvaldītāja</w:t>
      </w:r>
      <w:r w:rsidRPr="004A40A8">
        <w:rPr>
          <w:rFonts w:eastAsia="Aptos" w:cs="Times New Roman"/>
        </w:rPr>
        <w:t xml:space="preserve"> e-adresē elektroniskā dokumenta veidā vai iesniedzot dokumentu </w:t>
      </w:r>
      <w:r w:rsidR="00A379BC">
        <w:rPr>
          <w:rFonts w:eastAsia="Aptos" w:cs="Times New Roman"/>
        </w:rPr>
        <w:t>fiziskās infrastruktūras īpašnieka vai pārvaldītāja</w:t>
      </w:r>
      <w:r w:rsidRPr="004A40A8">
        <w:rPr>
          <w:rFonts w:eastAsia="Aptos" w:cs="Times New Roman"/>
        </w:rPr>
        <w:t xml:space="preserve"> tiešsaistes Klientu apkalpošanas rīkā, ja tāds ir izveidots.  </w:t>
      </w:r>
    </w:p>
    <w:p w14:paraId="52DDFAED" w14:textId="77777777" w:rsidR="001B68CE" w:rsidRPr="004A40A8" w:rsidRDefault="001B68CE" w:rsidP="00E40F42">
      <w:pPr>
        <w:spacing w:after="0" w:line="240" w:lineRule="auto"/>
        <w:jc w:val="both"/>
        <w:rPr>
          <w:rFonts w:eastAsia="Aptos" w:cs="Times New Roman"/>
          <w:b/>
          <w:bCs/>
        </w:rPr>
      </w:pPr>
    </w:p>
    <w:p w14:paraId="0101ED54" w14:textId="42B91EC3" w:rsidR="004305C2" w:rsidRPr="004A40A8" w:rsidRDefault="004305C2" w:rsidP="00E40F42">
      <w:pPr>
        <w:spacing w:after="0" w:line="240" w:lineRule="auto"/>
        <w:jc w:val="both"/>
        <w:rPr>
          <w:rFonts w:eastAsia="Aptos" w:cs="Times New Roman"/>
          <w:b/>
          <w:bCs/>
        </w:rPr>
      </w:pPr>
      <w:r w:rsidRPr="004A40A8">
        <w:rPr>
          <w:rFonts w:eastAsia="Aptos" w:cs="Times New Roman"/>
          <w:b/>
          <w:bCs/>
        </w:rPr>
        <w:t>2.solis</w:t>
      </w:r>
      <w:r w:rsidR="00B14CB3" w:rsidRPr="004A40A8">
        <w:rPr>
          <w:rFonts w:eastAsia="Aptos" w:cs="Times New Roman"/>
          <w:b/>
          <w:bCs/>
        </w:rPr>
        <w:t xml:space="preserve"> </w:t>
      </w:r>
    </w:p>
    <w:p w14:paraId="3C306D68" w14:textId="1B19F858" w:rsidR="004305C2" w:rsidRPr="004A40A8" w:rsidRDefault="004305C2" w:rsidP="004A6D43">
      <w:pPr>
        <w:spacing w:after="0" w:line="240" w:lineRule="auto"/>
        <w:ind w:firstLine="720"/>
        <w:jc w:val="both"/>
        <w:rPr>
          <w:rFonts w:eastAsia="Aptos" w:cs="Times New Roman"/>
        </w:rPr>
      </w:pPr>
      <w:r w:rsidRPr="004A40A8">
        <w:rPr>
          <w:rFonts w:eastAsia="Aptos" w:cs="Times New Roman"/>
        </w:rPr>
        <w:t xml:space="preserve">Pēc elektronisko sakaru komersanta iesnieguma saņemšanas </w:t>
      </w:r>
      <w:r w:rsidR="00980054">
        <w:rPr>
          <w:rFonts w:eastAsia="Aptos" w:cs="Times New Roman"/>
        </w:rPr>
        <w:t>fiziskās infrastruktūras īpašnieks vai pārvaldītājs</w:t>
      </w:r>
      <w:r w:rsidRPr="004A40A8">
        <w:rPr>
          <w:rFonts w:eastAsia="Aptos" w:cs="Times New Roman"/>
        </w:rPr>
        <w:t xml:space="preserve"> nodrošina</w:t>
      </w:r>
      <w:r w:rsidR="004A6D43">
        <w:rPr>
          <w:rFonts w:eastAsia="Aptos" w:cs="Times New Roman"/>
        </w:rPr>
        <w:t xml:space="preserve"> i</w:t>
      </w:r>
      <w:r w:rsidRPr="004A40A8">
        <w:rPr>
          <w:rFonts w:eastAsia="Aptos" w:cs="Times New Roman"/>
        </w:rPr>
        <w:t>esnieguma savlaicīgu izskatīšanu</w:t>
      </w:r>
      <w:r w:rsidR="00963C19">
        <w:rPr>
          <w:rFonts w:eastAsia="Aptos" w:cs="Times New Roman"/>
        </w:rPr>
        <w:t xml:space="preserve"> un atbildes sniegšanu, ievērojot Gigabitu regulas 3. pantā noteikto</w:t>
      </w:r>
      <w:r w:rsidRPr="004A40A8">
        <w:rPr>
          <w:rFonts w:eastAsia="Aptos" w:cs="Times New Roman"/>
        </w:rPr>
        <w:t xml:space="preserve">. Sākotnējā </w:t>
      </w:r>
      <w:r w:rsidR="00980054">
        <w:rPr>
          <w:rFonts w:eastAsia="Aptos" w:cs="Times New Roman"/>
        </w:rPr>
        <w:t>fiziskās infrastruktūras īpašnieka vai pārvaldītāja</w:t>
      </w:r>
      <w:r w:rsidRPr="004A40A8">
        <w:rPr>
          <w:rFonts w:eastAsia="Aptos" w:cs="Times New Roman"/>
        </w:rPr>
        <w:t xml:space="preserve"> atbilde ir tehniska</w:t>
      </w:r>
      <w:r w:rsidR="007B2C2A" w:rsidRPr="004A40A8">
        <w:rPr>
          <w:rFonts w:eastAsia="Aptos" w:cs="Times New Roman"/>
        </w:rPr>
        <w:t xml:space="preserve"> rakstura</w:t>
      </w:r>
      <w:r w:rsidRPr="004A40A8">
        <w:rPr>
          <w:rFonts w:eastAsia="Aptos" w:cs="Times New Roman"/>
        </w:rPr>
        <w:t xml:space="preserve"> un ir saistīta ar norādītās infrastruktūras tehniskās pieejamības un stāvokļa novērtējumu. </w:t>
      </w:r>
      <w:r w:rsidR="009C54F0">
        <w:rPr>
          <w:rFonts w:eastAsia="Aptos" w:cs="Times New Roman"/>
        </w:rPr>
        <w:t>Fiziskās infrastruktūras īpašniekam vai pārvaldītājam</w:t>
      </w:r>
      <w:r w:rsidR="009C54F0" w:rsidRPr="004A40A8">
        <w:rPr>
          <w:rFonts w:eastAsia="Aptos" w:cs="Times New Roman"/>
        </w:rPr>
        <w:t xml:space="preserve"> </w:t>
      </w:r>
      <w:r w:rsidRPr="004A40A8">
        <w:rPr>
          <w:rFonts w:eastAsia="Aptos" w:cs="Times New Roman"/>
        </w:rPr>
        <w:t>nebūtu objektīva pamata neiekļauties Iesniegumu likuma 5.</w:t>
      </w:r>
      <w:r w:rsidR="001B68CE" w:rsidRPr="004A40A8">
        <w:rPr>
          <w:rFonts w:eastAsia="Aptos" w:cs="Times New Roman"/>
        </w:rPr>
        <w:t> </w:t>
      </w:r>
      <w:r w:rsidRPr="004A40A8">
        <w:rPr>
          <w:rFonts w:eastAsia="Aptos" w:cs="Times New Roman"/>
        </w:rPr>
        <w:t xml:space="preserve">panta </w:t>
      </w:r>
      <w:r w:rsidR="00911EDA" w:rsidRPr="004A40A8">
        <w:rPr>
          <w:rFonts w:eastAsia="Aptos" w:cs="Times New Roman"/>
        </w:rPr>
        <w:t xml:space="preserve">trešajā </w:t>
      </w:r>
      <w:r w:rsidRPr="004A40A8">
        <w:rPr>
          <w:rFonts w:eastAsia="Aptos" w:cs="Times New Roman"/>
        </w:rPr>
        <w:t>daļā noteiktajos termiņos. Pienācīgi pamatotos gadījumos minēto termiņu (par to iepriekš informējot elektronisko sakaru operatoru) var pagarināt uz sa</w:t>
      </w:r>
      <w:r w:rsidR="001B68CE" w:rsidRPr="004A40A8">
        <w:rPr>
          <w:rFonts w:eastAsia="Aptos" w:cs="Times New Roman"/>
        </w:rPr>
        <w:t>vstarpēji pieņemamu</w:t>
      </w:r>
      <w:r w:rsidRPr="004A40A8">
        <w:rPr>
          <w:rFonts w:eastAsia="Aptos" w:cs="Times New Roman"/>
        </w:rPr>
        <w:t xml:space="preserve"> termiņu. </w:t>
      </w:r>
      <w:r w:rsidR="00980054">
        <w:rPr>
          <w:rFonts w:eastAsia="Aptos" w:cs="Times New Roman"/>
        </w:rPr>
        <w:t>Fiziskās infrastruktūras īpašniekam vai pārvaldītājam</w:t>
      </w:r>
      <w:r w:rsidRPr="004A40A8">
        <w:rPr>
          <w:rFonts w:eastAsia="Aptos" w:cs="Times New Roman"/>
        </w:rPr>
        <w:t xml:space="preserve"> šāds pienākums ir jāizpilda, sniedzot precīzu un aktuālu informāciju, ievērojot noteikto termiņu.</w:t>
      </w:r>
    </w:p>
    <w:p w14:paraId="013B1B68" w14:textId="77777777" w:rsidR="004305C2" w:rsidRPr="003C4B90" w:rsidRDefault="004305C2" w:rsidP="00E40F42">
      <w:pPr>
        <w:spacing w:after="0" w:line="240" w:lineRule="auto"/>
        <w:ind w:firstLine="720"/>
        <w:jc w:val="both"/>
        <w:rPr>
          <w:rFonts w:eastAsia="Aptos" w:cs="Times New Roman"/>
        </w:rPr>
      </w:pPr>
      <w:r w:rsidRPr="003C4B90">
        <w:rPr>
          <w:rFonts w:eastAsia="Aptos" w:cs="Times New Roman"/>
        </w:rPr>
        <w:t>Pieprasītās informācijas apjomu var ierobežot vai atteikt tikai gadījumos, kas saistīti ar valsts drošības, valsts kritiskās infrastruktūras drošību, sabiedrības veselību vai drošību.</w:t>
      </w:r>
    </w:p>
    <w:p w14:paraId="4596D2B0" w14:textId="77777777" w:rsidR="00BD6C23" w:rsidRDefault="004305C2" w:rsidP="003C4B90">
      <w:pPr>
        <w:spacing w:after="0" w:line="240" w:lineRule="auto"/>
        <w:ind w:firstLine="720"/>
        <w:jc w:val="both"/>
        <w:rPr>
          <w:rFonts w:eastAsia="Aptos" w:cs="Times New Roman"/>
        </w:rPr>
      </w:pPr>
      <w:r w:rsidRPr="003C4B90">
        <w:rPr>
          <w:rFonts w:eastAsia="Aptos" w:cs="Times New Roman"/>
        </w:rPr>
        <w:t xml:space="preserve">Klātienes </w:t>
      </w:r>
      <w:r w:rsidRPr="003C4B90">
        <w:rPr>
          <w:rFonts w:eastAsia="Aptos" w:cs="Times New Roman"/>
          <w:noProof/>
        </w:rPr>
        <w:t>apsekojuma</w:t>
      </w:r>
      <w:r w:rsidRPr="003C4B90">
        <w:rPr>
          <w:rFonts w:eastAsia="Aptos" w:cs="Times New Roman"/>
        </w:rPr>
        <w:t xml:space="preserve"> nodrošināšana, ja elektronisko sakaru komersants to pieprasa. </w:t>
      </w:r>
      <w:r w:rsidR="00980054">
        <w:rPr>
          <w:rFonts w:eastAsia="Aptos" w:cs="Times New Roman"/>
        </w:rPr>
        <w:t>Fiziskās infrastruktūras īpašnieks vai pārvaldītājs</w:t>
      </w:r>
      <w:r w:rsidRPr="003C4B90">
        <w:rPr>
          <w:rFonts w:eastAsia="Aptos" w:cs="Times New Roman"/>
        </w:rPr>
        <w:t xml:space="preserve"> nodrošina iespēju elektronisko sakaru komersantam apsekot infrastruktūru viena mēneša laikā no šāda pieprasījuma saņemšanas dienas</w:t>
      </w:r>
      <w:r w:rsidR="00980054">
        <w:rPr>
          <w:rFonts w:eastAsia="Aptos" w:cs="Times New Roman"/>
        </w:rPr>
        <w:t>.</w:t>
      </w:r>
    </w:p>
    <w:p w14:paraId="53970885" w14:textId="29EB5E8B" w:rsidR="004305C2" w:rsidRPr="003C4B90" w:rsidRDefault="004305C2" w:rsidP="003C4B90">
      <w:pPr>
        <w:spacing w:after="0" w:line="240" w:lineRule="auto"/>
        <w:ind w:firstLine="720"/>
        <w:jc w:val="both"/>
      </w:pPr>
      <w:r w:rsidRPr="003C4B90">
        <w:rPr>
          <w:rFonts w:eastAsia="Aptos" w:cs="Times New Roman"/>
        </w:rPr>
        <w:t xml:space="preserve"> </w:t>
      </w:r>
      <w:r w:rsidRPr="003C4B90">
        <w:rPr>
          <w:rFonts w:eastAsia="Aptos" w:cs="Times New Roman"/>
        </w:rPr>
        <w:br/>
      </w:r>
      <w:r w:rsidR="003C4B90">
        <w:rPr>
          <w:rFonts w:eastAsia="Aptos" w:cs="Times New Roman"/>
        </w:rPr>
        <w:tab/>
      </w:r>
      <w:r w:rsidR="00980054">
        <w:rPr>
          <w:rFonts w:eastAsia="Aptos" w:cs="Times New Roman"/>
        </w:rPr>
        <w:t>Fiziskās infrastruktūras īpašnieks vai pārvaldītājs</w:t>
      </w:r>
      <w:r w:rsidRPr="003C4B90">
        <w:rPr>
          <w:rFonts w:eastAsia="Aptos" w:cs="Times New Roman"/>
        </w:rPr>
        <w:t>, kur</w:t>
      </w:r>
      <w:r w:rsidR="00980054">
        <w:rPr>
          <w:rFonts w:eastAsia="Aptos" w:cs="Times New Roman"/>
        </w:rPr>
        <w:t>a</w:t>
      </w:r>
      <w:r w:rsidRPr="003C4B90">
        <w:rPr>
          <w:rFonts w:eastAsia="Aptos" w:cs="Times New Roman"/>
        </w:rPr>
        <w:t>m pieder vai ir kontrole pār iecerēto ierīkošanas vietu</w:t>
      </w:r>
      <w:r w:rsidR="00B67699" w:rsidRPr="003C4B90">
        <w:rPr>
          <w:rFonts w:eastAsia="Aptos" w:cs="Times New Roman"/>
        </w:rPr>
        <w:t>,</w:t>
      </w:r>
      <w:r w:rsidRPr="003C4B90">
        <w:rPr>
          <w:rFonts w:eastAsia="Aptos" w:cs="Times New Roman"/>
        </w:rPr>
        <w:t xml:space="preserve"> var ierobežot piekļuves tiesības, ja uz infrastruktūru ir attiecināma aizsardzība arhitektoniskas, vēsturiskas, reliģiskas vai vid</w:t>
      </w:r>
      <w:r w:rsidR="00980054">
        <w:rPr>
          <w:rFonts w:eastAsia="Aptos" w:cs="Times New Roman"/>
        </w:rPr>
        <w:t>es</w:t>
      </w:r>
      <w:r w:rsidRPr="003C4B90">
        <w:rPr>
          <w:rFonts w:eastAsia="Aptos" w:cs="Times New Roman"/>
        </w:rPr>
        <w:t xml:space="preserve"> vērtības dēļ vai sabiedr</w:t>
      </w:r>
      <w:r w:rsidRPr="003C4B90">
        <w:t>iskās drošības, aizsardzības, drošuma un veselības apsvērumu dēļ.</w:t>
      </w:r>
      <w:r w:rsidRPr="003C4B90">
        <w:rPr>
          <w:rStyle w:val="FootnoteReference"/>
          <w:rFonts w:eastAsia="Aptos" w:cs="Times New Roman"/>
        </w:rPr>
        <w:footnoteReference w:id="16"/>
      </w:r>
    </w:p>
    <w:p w14:paraId="642EC8CE" w14:textId="77777777" w:rsidR="004305C2" w:rsidRPr="004A40A8" w:rsidRDefault="004305C2" w:rsidP="00E40F42">
      <w:pPr>
        <w:spacing w:after="0" w:line="240" w:lineRule="auto"/>
        <w:contextualSpacing/>
        <w:jc w:val="both"/>
        <w:rPr>
          <w:rFonts w:eastAsia="Aptos" w:cs="Times New Roman"/>
        </w:rPr>
      </w:pPr>
    </w:p>
    <w:p w14:paraId="655C7B31" w14:textId="77777777" w:rsidR="007C01F9" w:rsidRPr="004A40A8" w:rsidRDefault="004305C2" w:rsidP="00E40F42">
      <w:pPr>
        <w:spacing w:after="0" w:line="240" w:lineRule="auto"/>
        <w:jc w:val="both"/>
        <w:rPr>
          <w:rFonts w:eastAsia="Aptos" w:cs="Times New Roman"/>
          <w:b/>
          <w:bCs/>
        </w:rPr>
      </w:pPr>
      <w:r w:rsidRPr="004A40A8">
        <w:rPr>
          <w:rFonts w:eastAsia="Aptos" w:cs="Times New Roman"/>
          <w:b/>
          <w:bCs/>
        </w:rPr>
        <w:t>3.solis.</w:t>
      </w:r>
    </w:p>
    <w:p w14:paraId="66984685" w14:textId="43529069" w:rsidR="004305C2" w:rsidRPr="004A40A8" w:rsidRDefault="004305C2" w:rsidP="00E40F42">
      <w:pPr>
        <w:spacing w:after="0" w:line="240" w:lineRule="auto"/>
        <w:ind w:firstLine="720"/>
        <w:jc w:val="both"/>
        <w:rPr>
          <w:rFonts w:eastAsia="Aptos" w:cs="Times New Roman"/>
        </w:rPr>
      </w:pPr>
      <w:r w:rsidRPr="004A40A8">
        <w:rPr>
          <w:rFonts w:eastAsia="Aptos" w:cs="Times New Roman"/>
        </w:rPr>
        <w:lastRenderedPageBreak/>
        <w:t xml:space="preserve">Elektronisko sakaru operators iesniedz </w:t>
      </w:r>
      <w:r w:rsidR="0015263D">
        <w:rPr>
          <w:rFonts w:eastAsia="Aptos" w:cs="Times New Roman"/>
        </w:rPr>
        <w:t>fiziskās infrastruktūras īpašniekam vai pārvaldītājam</w:t>
      </w:r>
      <w:r w:rsidRPr="004A40A8">
        <w:rPr>
          <w:rFonts w:eastAsia="Aptos" w:cs="Times New Roman"/>
        </w:rPr>
        <w:t xml:space="preserve"> rakstisku pieprasījumu, norādot infrastruktūru vai ģeogrāfisko teritoriju, kā arī laika periodu, kurā veikt ierīkošanas darbības.</w:t>
      </w:r>
      <w:r w:rsidRPr="004A40A8">
        <w:rPr>
          <w:szCs w:val="24"/>
          <w:vertAlign w:val="superscript"/>
        </w:rPr>
        <w:footnoteReference w:id="17"/>
      </w:r>
    </w:p>
    <w:p w14:paraId="7689281D" w14:textId="77777777" w:rsidR="00E52829" w:rsidRPr="004A40A8" w:rsidRDefault="00E52829" w:rsidP="00E40F42">
      <w:pPr>
        <w:spacing w:after="0" w:line="240" w:lineRule="auto"/>
        <w:contextualSpacing/>
        <w:jc w:val="both"/>
        <w:rPr>
          <w:rFonts w:eastAsia="Aptos" w:cs="Times New Roman"/>
          <w:b/>
          <w:bCs/>
          <w:szCs w:val="24"/>
        </w:rPr>
      </w:pPr>
    </w:p>
    <w:p w14:paraId="7AD6486F" w14:textId="6B6AAD59" w:rsidR="004305C2" w:rsidRPr="004A40A8" w:rsidRDefault="004305C2" w:rsidP="00E40F42">
      <w:pPr>
        <w:spacing w:after="0" w:line="240" w:lineRule="auto"/>
        <w:contextualSpacing/>
        <w:jc w:val="both"/>
        <w:rPr>
          <w:rFonts w:eastAsia="Aptos" w:cs="Times New Roman"/>
          <w:b/>
          <w:bCs/>
          <w:szCs w:val="24"/>
        </w:rPr>
      </w:pPr>
      <w:r w:rsidRPr="004A40A8">
        <w:rPr>
          <w:rFonts w:eastAsia="Aptos" w:cs="Times New Roman"/>
          <w:b/>
          <w:bCs/>
          <w:szCs w:val="24"/>
        </w:rPr>
        <w:t xml:space="preserve">4.solis. </w:t>
      </w:r>
    </w:p>
    <w:p w14:paraId="38F587C1" w14:textId="709A9F63" w:rsidR="004305C2" w:rsidRPr="004A40A8" w:rsidRDefault="0015263D" w:rsidP="00E40F42">
      <w:pPr>
        <w:spacing w:after="0" w:line="240" w:lineRule="auto"/>
        <w:ind w:firstLine="720"/>
        <w:contextualSpacing/>
        <w:jc w:val="both"/>
        <w:rPr>
          <w:rFonts w:eastAsia="Aptos" w:cs="Times New Roman"/>
          <w:szCs w:val="24"/>
        </w:rPr>
      </w:pPr>
      <w:r>
        <w:rPr>
          <w:rFonts w:eastAsia="Aptos" w:cs="Times New Roman"/>
        </w:rPr>
        <w:t>Fiziskās infrastruktūras īpašnieks vai pārvaldītājs</w:t>
      </w:r>
      <w:r>
        <w:rPr>
          <w:rFonts w:eastAsia="Aptos" w:cs="Times New Roman"/>
          <w:szCs w:val="24"/>
        </w:rPr>
        <w:t xml:space="preserve"> </w:t>
      </w:r>
      <w:r w:rsidR="004305C2" w:rsidRPr="004A40A8">
        <w:rPr>
          <w:rFonts w:eastAsia="Aptos" w:cs="Times New Roman"/>
          <w:szCs w:val="24"/>
        </w:rPr>
        <w:t>ne vēlāk kā viena mēneša laikā no pieprasījuma saņemšanas dienas sniedz atbildi elektronisko sakaru operatoram.</w:t>
      </w:r>
      <w:r w:rsidR="004305C2" w:rsidRPr="004A40A8">
        <w:rPr>
          <w:rFonts w:eastAsia="Aptos" w:cs="Times New Roman"/>
          <w:szCs w:val="24"/>
          <w:vertAlign w:val="superscript"/>
        </w:rPr>
        <w:footnoteReference w:id="18"/>
      </w:r>
      <w:r w:rsidR="004305C2" w:rsidRPr="004A40A8">
        <w:rPr>
          <w:rFonts w:eastAsia="Aptos" w:cs="Times New Roman"/>
          <w:szCs w:val="24"/>
        </w:rPr>
        <w:t xml:space="preserve"> </w:t>
      </w:r>
    </w:p>
    <w:p w14:paraId="648CAF43" w14:textId="1F8A43C9" w:rsidR="00D07EA6" w:rsidRPr="004A40A8" w:rsidRDefault="0015263D" w:rsidP="00E40F42">
      <w:pPr>
        <w:spacing w:after="0" w:line="240" w:lineRule="auto"/>
        <w:ind w:firstLine="720"/>
        <w:contextualSpacing/>
        <w:jc w:val="both"/>
        <w:rPr>
          <w:rFonts w:eastAsia="Aptos" w:cs="Times New Roman"/>
        </w:rPr>
      </w:pPr>
      <w:r>
        <w:rPr>
          <w:rFonts w:eastAsia="Aptos" w:cs="Times New Roman"/>
        </w:rPr>
        <w:t>Fiziskās infrastruktūras īpašniekam vai pārvaldītājam</w:t>
      </w:r>
      <w:r w:rsidR="004305C2" w:rsidRPr="009A358D">
        <w:rPr>
          <w:rFonts w:eastAsia="Aptos" w:cs="Times New Roman"/>
        </w:rPr>
        <w:t xml:space="preserve"> ir pienākums veicināt tuvas darbības bezvadu piekļuves punktu ierīkošanu</w:t>
      </w:r>
      <w:r w:rsidR="006B1743" w:rsidRPr="009A358D">
        <w:rPr>
          <w:rFonts w:eastAsia="Aptos" w:cs="Times New Roman"/>
        </w:rPr>
        <w:t>, nodrošinot piekļuvi pārredzam</w:t>
      </w:r>
      <w:r w:rsidR="00E31D8A" w:rsidRPr="009A358D">
        <w:rPr>
          <w:rFonts w:eastAsia="Aptos" w:cs="Times New Roman"/>
        </w:rPr>
        <w:t>ā un</w:t>
      </w:r>
      <w:r w:rsidR="006B1743" w:rsidRPr="009A358D">
        <w:rPr>
          <w:rFonts w:eastAsia="Aptos" w:cs="Times New Roman"/>
        </w:rPr>
        <w:t xml:space="preserve"> nediskriminējoš</w:t>
      </w:r>
      <w:r w:rsidR="00E31D8A" w:rsidRPr="009A358D">
        <w:rPr>
          <w:rFonts w:eastAsia="Aptos" w:cs="Times New Roman"/>
        </w:rPr>
        <w:t>ā procedūrā.</w:t>
      </w:r>
    </w:p>
    <w:p w14:paraId="64B1DD9C" w14:textId="5B082E95" w:rsidR="004305C2" w:rsidRPr="004A40A8" w:rsidRDefault="0015263D" w:rsidP="00E40F42">
      <w:pPr>
        <w:spacing w:after="0" w:line="240" w:lineRule="auto"/>
        <w:ind w:firstLine="720"/>
        <w:contextualSpacing/>
        <w:jc w:val="both"/>
        <w:rPr>
          <w:rFonts w:eastAsia="Aptos" w:cs="Times New Roman"/>
          <w:szCs w:val="24"/>
        </w:rPr>
      </w:pPr>
      <w:r>
        <w:rPr>
          <w:rFonts w:eastAsia="Aptos" w:cs="Times New Roman"/>
        </w:rPr>
        <w:t>Fiziskās infrastruktūras īpašnieks vai pārvaldītājs</w:t>
      </w:r>
      <w:r w:rsidR="004305C2" w:rsidRPr="004A40A8">
        <w:rPr>
          <w:rFonts w:eastAsia="Aptos" w:cs="Times New Roman"/>
          <w:szCs w:val="24"/>
        </w:rPr>
        <w:t xml:space="preserve"> drīkst atteikt piekļuvi tikai</w:t>
      </w:r>
      <w:r w:rsidR="00D07EA6" w:rsidRPr="004A40A8">
        <w:rPr>
          <w:rFonts w:eastAsia="Aptos" w:cs="Times New Roman"/>
          <w:szCs w:val="24"/>
        </w:rPr>
        <w:t xml:space="preserve"> gadījumos, kas paredzēti Gigabitu regulā, proti</w:t>
      </w:r>
      <w:r w:rsidR="004305C2" w:rsidRPr="004A40A8">
        <w:rPr>
          <w:rFonts w:eastAsia="Aptos" w:cs="Times New Roman"/>
          <w:szCs w:val="24"/>
        </w:rPr>
        <w:t xml:space="preserve"> ar vienu vai vairākiem šādiem iemesliem: </w:t>
      </w:r>
    </w:p>
    <w:p w14:paraId="168FA695" w14:textId="77777777" w:rsidR="004305C2" w:rsidRPr="004A40A8" w:rsidRDefault="004305C2" w:rsidP="00E40F42">
      <w:pPr>
        <w:numPr>
          <w:ilvl w:val="0"/>
          <w:numId w:val="23"/>
        </w:numPr>
        <w:spacing w:after="0" w:line="240" w:lineRule="auto"/>
        <w:contextualSpacing/>
        <w:jc w:val="both"/>
        <w:rPr>
          <w:rFonts w:eastAsia="Aptos" w:cs="Times New Roman"/>
          <w:szCs w:val="24"/>
        </w:rPr>
      </w:pPr>
      <w:r w:rsidRPr="004A40A8">
        <w:rPr>
          <w:rFonts w:eastAsia="Aptos" w:cs="Times New Roman"/>
          <w:szCs w:val="24"/>
        </w:rPr>
        <w:t xml:space="preserve">iecerētā ierīkošanas vieta nav tehniski piemērota tuvas darbības bezvadu piekļuves punktu ierīkošanai; </w:t>
      </w:r>
    </w:p>
    <w:p w14:paraId="1FF64DBD" w14:textId="77777777" w:rsidR="004305C2" w:rsidRPr="004A40A8" w:rsidRDefault="004305C2" w:rsidP="00E40F42">
      <w:pPr>
        <w:numPr>
          <w:ilvl w:val="0"/>
          <w:numId w:val="23"/>
        </w:numPr>
        <w:spacing w:after="0" w:line="240" w:lineRule="auto"/>
        <w:contextualSpacing/>
        <w:jc w:val="both"/>
        <w:rPr>
          <w:rFonts w:eastAsia="Aptos" w:cs="Times New Roman"/>
          <w:szCs w:val="24"/>
        </w:rPr>
      </w:pPr>
      <w:r w:rsidRPr="004A40A8">
        <w:rPr>
          <w:rFonts w:eastAsia="Aptos" w:cs="Times New Roman"/>
          <w:szCs w:val="24"/>
        </w:rPr>
        <w:t>pastāv pamatoti iemesli saistībā ar drošumu, valsts drošību un sabiedrības veselību;</w:t>
      </w:r>
    </w:p>
    <w:p w14:paraId="47111A8F" w14:textId="77777777" w:rsidR="004305C2" w:rsidRPr="004A40A8" w:rsidRDefault="004305C2" w:rsidP="00E40F42">
      <w:pPr>
        <w:numPr>
          <w:ilvl w:val="0"/>
          <w:numId w:val="23"/>
        </w:numPr>
        <w:spacing w:after="0" w:line="240" w:lineRule="auto"/>
        <w:contextualSpacing/>
        <w:jc w:val="both"/>
        <w:rPr>
          <w:rFonts w:eastAsia="Aptos" w:cs="Times New Roman"/>
          <w:szCs w:val="24"/>
        </w:rPr>
      </w:pPr>
      <w:r w:rsidRPr="004A40A8">
        <w:rPr>
          <w:rFonts w:eastAsia="Aptos" w:cs="Times New Roman"/>
          <w:szCs w:val="24"/>
        </w:rPr>
        <w:t>pastāv pienācīgi pamatoti iemesli saistībā ar kāda tīkla, jo īpaši valsts kritiskās infrastruktūras, integritāti un drošību;</w:t>
      </w:r>
    </w:p>
    <w:p w14:paraId="7634C40D" w14:textId="5D6CD802" w:rsidR="004305C2" w:rsidRPr="004A40A8" w:rsidRDefault="004305C2" w:rsidP="00E40F42">
      <w:pPr>
        <w:numPr>
          <w:ilvl w:val="0"/>
          <w:numId w:val="23"/>
        </w:numPr>
        <w:spacing w:after="0" w:line="240" w:lineRule="auto"/>
        <w:contextualSpacing/>
        <w:jc w:val="both"/>
        <w:rPr>
          <w:rFonts w:eastAsia="Aptos" w:cs="Times New Roman"/>
          <w:szCs w:val="24"/>
        </w:rPr>
      </w:pPr>
      <w:r w:rsidRPr="004A40A8">
        <w:rPr>
          <w:rFonts w:eastAsia="Aptos" w:cs="Times New Roman"/>
          <w:szCs w:val="24"/>
        </w:rPr>
        <w:t>pastāv pienācīgi pamatots risks, ka plānotie elektronisko sakaru pakalpojumi varētu nopietni traucēt tādu citu pakalpojumu sniegšanai, kurus sniedz tajā pašā fiziskajā infrastruktūrā</w:t>
      </w:r>
      <w:r w:rsidR="003C4B90">
        <w:rPr>
          <w:rFonts w:eastAsia="Aptos" w:cs="Times New Roman"/>
          <w:szCs w:val="24"/>
        </w:rPr>
        <w:t>;</w:t>
      </w:r>
      <w:r w:rsidRPr="004A40A8">
        <w:rPr>
          <w:rFonts w:eastAsia="Aptos" w:cs="Times New Roman"/>
          <w:szCs w:val="24"/>
        </w:rPr>
        <w:t xml:space="preserve"> </w:t>
      </w:r>
      <w:r w:rsidRPr="004A40A8">
        <w:rPr>
          <w:rFonts w:eastAsia="Aptos" w:cs="Times New Roman"/>
          <w:szCs w:val="24"/>
          <w:vertAlign w:val="superscript"/>
        </w:rPr>
        <w:footnoteReference w:id="19"/>
      </w:r>
    </w:p>
    <w:p w14:paraId="61521A56" w14:textId="77777777" w:rsidR="004305C2" w:rsidRPr="004A40A8" w:rsidRDefault="004305C2" w:rsidP="00E40F42">
      <w:pPr>
        <w:pStyle w:val="ListParagraph"/>
        <w:numPr>
          <w:ilvl w:val="0"/>
          <w:numId w:val="23"/>
        </w:numPr>
        <w:spacing w:after="0" w:line="240" w:lineRule="auto"/>
        <w:jc w:val="both"/>
        <w:rPr>
          <w:rFonts w:eastAsia="Aptos" w:cs="Times New Roman"/>
        </w:rPr>
      </w:pPr>
      <w:r w:rsidRPr="004A40A8">
        <w:rPr>
          <w:rFonts w:eastAsia="Aptos" w:cs="Times New Roman"/>
        </w:rPr>
        <w:t>ja uz infrastruktūru ir attiecināma aizsardzība arhitektoniskas, vēsturiskas, reliģiskas vai vēsturiskas vērtības dēļ vai sabiedr</w:t>
      </w:r>
      <w:r w:rsidRPr="004A40A8">
        <w:t>iskās drošības, aizsardzības, drošuma un veselības apsvērumu dēļ;</w:t>
      </w:r>
    </w:p>
    <w:p w14:paraId="25C93993" w14:textId="562BAE67" w:rsidR="004305C2" w:rsidRPr="004A40A8" w:rsidRDefault="004305C2" w:rsidP="00E40F42">
      <w:pPr>
        <w:numPr>
          <w:ilvl w:val="0"/>
          <w:numId w:val="23"/>
        </w:numPr>
        <w:spacing w:after="0" w:line="240" w:lineRule="auto"/>
        <w:contextualSpacing/>
        <w:jc w:val="both"/>
        <w:rPr>
          <w:rFonts w:eastAsia="Aptos" w:cs="Times New Roman"/>
          <w:szCs w:val="24"/>
        </w:rPr>
      </w:pPr>
      <w:r w:rsidRPr="004A40A8">
        <w:rPr>
          <w:rFonts w:eastAsia="Aptos" w:cs="Times New Roman"/>
          <w:szCs w:val="24"/>
        </w:rPr>
        <w:t xml:space="preserve">citos </w:t>
      </w:r>
      <w:r w:rsidR="00C242A9" w:rsidRPr="004A40A8">
        <w:rPr>
          <w:rFonts w:eastAsia="Aptos" w:cs="Times New Roman"/>
          <w:szCs w:val="24"/>
        </w:rPr>
        <w:t>Gigabitu regulas</w:t>
      </w:r>
      <w:r w:rsidRPr="004A40A8">
        <w:rPr>
          <w:rFonts w:eastAsia="Aptos" w:cs="Times New Roman"/>
          <w:szCs w:val="24"/>
        </w:rPr>
        <w:t xml:space="preserve"> 3.</w:t>
      </w:r>
      <w:r w:rsidR="00D07EA6" w:rsidRPr="004A40A8">
        <w:rPr>
          <w:rFonts w:eastAsia="Aptos" w:cs="Times New Roman"/>
          <w:szCs w:val="24"/>
        </w:rPr>
        <w:t> </w:t>
      </w:r>
      <w:r w:rsidRPr="004A40A8">
        <w:rPr>
          <w:rFonts w:eastAsia="Aptos" w:cs="Times New Roman"/>
          <w:szCs w:val="24"/>
        </w:rPr>
        <w:t xml:space="preserve">panta piektajā daļā noteiktajos gadījumos. </w:t>
      </w:r>
    </w:p>
    <w:p w14:paraId="33B27832" w14:textId="77777777" w:rsidR="004305C2" w:rsidRPr="004A40A8" w:rsidRDefault="004305C2" w:rsidP="00E40F42">
      <w:pPr>
        <w:spacing w:after="0" w:line="240" w:lineRule="auto"/>
        <w:contextualSpacing/>
        <w:jc w:val="both"/>
        <w:rPr>
          <w:rFonts w:eastAsia="Aptos" w:cs="Times New Roman"/>
        </w:rPr>
      </w:pPr>
    </w:p>
    <w:p w14:paraId="2E9F1157" w14:textId="0A4CDD40" w:rsidR="00E52829" w:rsidRPr="004A40A8" w:rsidRDefault="00BF4655" w:rsidP="00E40F42">
      <w:pPr>
        <w:spacing w:after="0" w:line="240" w:lineRule="auto"/>
        <w:ind w:firstLine="720"/>
        <w:contextualSpacing/>
        <w:jc w:val="both"/>
        <w:rPr>
          <w:rFonts w:eastAsia="Aptos" w:cs="Times New Roman"/>
        </w:rPr>
      </w:pPr>
      <w:r>
        <w:rPr>
          <w:rFonts w:eastAsia="Aptos" w:cs="Times New Roman"/>
        </w:rPr>
        <w:t>Fiziskās infrastruktūras īpašnieks vai pārvaldītājs</w:t>
      </w:r>
      <w:r w:rsidR="004305C2" w:rsidRPr="004A40A8">
        <w:rPr>
          <w:rFonts w:eastAsia="Aptos" w:cs="Times New Roman"/>
        </w:rPr>
        <w:t xml:space="preserve"> rakstiski paziņo šāda atteikuma iemeslus, izņemot, ja pieprasījums attiecas uz valsts kritisko infrastruktūru, kā tā definēta valsts tiesību aktos, tad piekļuves prasītājam adresētajā paziņojumā par atteikumu nav jānorāda konkrēti un detalizēti iemesli.</w:t>
      </w:r>
      <w:r w:rsidR="004305C2" w:rsidRPr="004A40A8">
        <w:rPr>
          <w:rFonts w:eastAsia="Aptos" w:cs="Times New Roman"/>
          <w:szCs w:val="24"/>
          <w:vertAlign w:val="superscript"/>
        </w:rPr>
        <w:footnoteReference w:id="20"/>
      </w:r>
    </w:p>
    <w:p w14:paraId="60B9EE0E" w14:textId="06D4D940" w:rsidR="004305C2" w:rsidRPr="004A40A8" w:rsidRDefault="004305C2" w:rsidP="00E40F42">
      <w:pPr>
        <w:spacing w:after="0" w:line="240" w:lineRule="auto"/>
        <w:ind w:firstLine="720"/>
        <w:contextualSpacing/>
        <w:jc w:val="both"/>
        <w:rPr>
          <w:rFonts w:eastAsia="Aptos" w:cs="Times New Roman"/>
        </w:rPr>
      </w:pPr>
      <w:r w:rsidRPr="004A40A8">
        <w:rPr>
          <w:rFonts w:eastAsia="Aptos" w:cs="Times New Roman"/>
        </w:rPr>
        <w:t xml:space="preserve"> Atteikums nedrīkst būt formāls – tam ir jāsatur pamatojums un skaidrojums, kādas iestādes publiskās funkcijas un intereses var nonākt pretrunā ar sabiedrības interesēm saņemt augstas veiktspējas elektronisko sakaru pakalpojumus. </w:t>
      </w:r>
    </w:p>
    <w:p w14:paraId="57EE6B65" w14:textId="33BADA39" w:rsidR="004305C2" w:rsidRPr="004A40A8" w:rsidRDefault="004305C2" w:rsidP="00E40F42">
      <w:pPr>
        <w:pStyle w:val="Virsraksts"/>
        <w:jc w:val="both"/>
        <w:rPr>
          <w:rFonts w:eastAsia="Aptos" w:cs="Times New Roman"/>
          <w:b w:val="0"/>
          <w:bCs w:val="0"/>
        </w:rPr>
      </w:pPr>
      <w:r w:rsidRPr="009A358D">
        <w:rPr>
          <w:rFonts w:eastAsia="Aptos" w:cs="Times New Roman"/>
          <w:b w:val="0"/>
          <w:bCs w:val="0"/>
        </w:rPr>
        <w:t xml:space="preserve">Ja </w:t>
      </w:r>
      <w:r w:rsidR="00BF4655" w:rsidRPr="00BF4655">
        <w:rPr>
          <w:rFonts w:eastAsia="Aptos" w:cs="Times New Roman"/>
          <w:b w:val="0"/>
          <w:bCs w:val="0"/>
        </w:rPr>
        <w:t>fiziskās infrastruktūras īpašnieks vai pārvaldītājs</w:t>
      </w:r>
      <w:r w:rsidR="00BF4655">
        <w:rPr>
          <w:rFonts w:eastAsia="Aptos" w:cs="Times New Roman"/>
          <w:b w:val="0"/>
          <w:bCs w:val="0"/>
        </w:rPr>
        <w:t xml:space="preserve"> </w:t>
      </w:r>
      <w:r w:rsidRPr="009A358D">
        <w:rPr>
          <w:rFonts w:eastAsia="Aptos" w:cs="Times New Roman"/>
          <w:b w:val="0"/>
          <w:bCs w:val="0"/>
        </w:rPr>
        <w:t>nesadarbojas ar  elektronisko sakaru komersantu, tam ir iespēja vērsties pie uzraugošās iestādes ar lūgumu izskatīt jautājumu par piekļuves došanu tīkla izvēršanai nepieciešamajai infrastruktūrai.</w:t>
      </w:r>
      <w:r w:rsidR="008B75A0" w:rsidRPr="009A358D">
        <w:rPr>
          <w:rFonts w:eastAsia="Aptos" w:cs="Times New Roman"/>
          <w:b w:val="0"/>
          <w:bCs w:val="0"/>
        </w:rPr>
        <w:t xml:space="preserve"> </w:t>
      </w:r>
      <w:r w:rsidRPr="009A358D">
        <w:rPr>
          <w:rFonts w:eastAsia="Aptos" w:cs="Times New Roman"/>
          <w:b w:val="0"/>
          <w:bCs w:val="0"/>
        </w:rPr>
        <w:t>Par godprātīgu sadarbību nevar tikt uzskatīts atteikums sadarboties, piemēram, uzliekot papildu pienākumus sakaru komersantam, kas nav saistīti ar sakaru pārklājumu nodrošināšanu, vai atsauce uz sabiedrisko domu vai balsošanas rezultātiem.</w:t>
      </w:r>
      <w:r w:rsidRPr="004A40A8">
        <w:rPr>
          <w:rFonts w:eastAsia="Aptos" w:cs="Times New Roman"/>
          <w:b w:val="0"/>
          <w:bCs w:val="0"/>
        </w:rPr>
        <w:t xml:space="preserve"> </w:t>
      </w:r>
    </w:p>
    <w:p w14:paraId="709AF980" w14:textId="77777777" w:rsidR="004305C2" w:rsidRPr="004A40A8" w:rsidRDefault="004305C2" w:rsidP="00E40F42">
      <w:pPr>
        <w:spacing w:after="0" w:line="240" w:lineRule="auto"/>
        <w:contextualSpacing/>
        <w:jc w:val="both"/>
        <w:rPr>
          <w:rFonts w:eastAsia="Aptos" w:cs="Times New Roman"/>
        </w:rPr>
      </w:pPr>
    </w:p>
    <w:p w14:paraId="04628E5A" w14:textId="77777777" w:rsidR="004305C2" w:rsidRPr="00EF6248" w:rsidRDefault="004305C2" w:rsidP="00E40F42">
      <w:pPr>
        <w:spacing w:after="0" w:line="240" w:lineRule="auto"/>
        <w:contextualSpacing/>
        <w:jc w:val="both"/>
        <w:rPr>
          <w:rFonts w:eastAsia="Aptos" w:cs="Times New Roman"/>
          <w:b/>
          <w:bCs/>
        </w:rPr>
      </w:pPr>
      <w:r w:rsidRPr="00EF6248">
        <w:rPr>
          <w:rFonts w:eastAsia="Aptos" w:cs="Times New Roman"/>
          <w:b/>
          <w:bCs/>
        </w:rPr>
        <w:t xml:space="preserve">Ieteikums: </w:t>
      </w:r>
    </w:p>
    <w:p w14:paraId="4197858B" w14:textId="607B1387" w:rsidR="003C4B90" w:rsidRPr="00EF6248" w:rsidRDefault="00EF6248" w:rsidP="00EF6248">
      <w:pPr>
        <w:spacing w:after="0" w:line="240" w:lineRule="auto"/>
        <w:jc w:val="both"/>
        <w:rPr>
          <w:rFonts w:eastAsia="Aptos" w:cs="Times New Roman"/>
        </w:rPr>
      </w:pPr>
      <w:r>
        <w:rPr>
          <w:rFonts w:eastAsia="Aptos" w:cs="Times New Roman"/>
        </w:rPr>
        <w:t xml:space="preserve">  </w:t>
      </w:r>
      <w:r>
        <w:rPr>
          <w:rFonts w:eastAsia="Aptos" w:cs="Times New Roman"/>
        </w:rPr>
        <w:tab/>
      </w:r>
      <w:r w:rsidR="00BF4655">
        <w:rPr>
          <w:rFonts w:eastAsia="Aptos" w:cs="Times New Roman"/>
        </w:rPr>
        <w:t>Fiziskās infrastruktūras īpašnieks vai pārvaldītājs</w:t>
      </w:r>
      <w:r w:rsidR="004305C2" w:rsidRPr="00EF6248">
        <w:rPr>
          <w:rFonts w:eastAsia="Aptos" w:cs="Times New Roman"/>
        </w:rPr>
        <w:t xml:space="preserve"> izskata elektronisko sakaru komersanta pieteikumu par sakaru infrastruktūras (tajā skaitā tuvas darbības bezvadu piekļuves punkta) izveidi un sniedz atbildi ne vēlāk kā viena mēneša laikā. Kopējam </w:t>
      </w:r>
      <w:r w:rsidR="004305C2" w:rsidRPr="00EF6248">
        <w:rPr>
          <w:rFonts w:eastAsia="Aptos" w:cs="Times New Roman"/>
        </w:rPr>
        <w:lastRenderedPageBreak/>
        <w:t xml:space="preserve">laikam no pieteikuma saņemšanas dienas līdz lēmuma pieņemšanai par infrastruktūras izvietošanu </w:t>
      </w:r>
      <w:r w:rsidRPr="00EF6248">
        <w:rPr>
          <w:rFonts w:eastAsia="Aptos" w:cs="Times New Roman"/>
        </w:rPr>
        <w:t>ir jāatbilst</w:t>
      </w:r>
      <w:r w:rsidR="004305C2" w:rsidRPr="00EF6248">
        <w:rPr>
          <w:rFonts w:eastAsia="Aptos" w:cs="Times New Roman"/>
        </w:rPr>
        <w:t xml:space="preserve"> </w:t>
      </w:r>
      <w:r w:rsidRPr="00EF6248">
        <w:rPr>
          <w:rFonts w:eastAsia="Aptos" w:cs="Times New Roman"/>
        </w:rPr>
        <w:t>Gigabitu regulā noteiktajam</w:t>
      </w:r>
      <w:r w:rsidR="004305C2" w:rsidRPr="00EF6248">
        <w:rPr>
          <w:rFonts w:eastAsia="Aptos" w:cs="Times New Roman"/>
        </w:rPr>
        <w:t>.</w:t>
      </w:r>
    </w:p>
    <w:p w14:paraId="53FBC712" w14:textId="33A7A5FC" w:rsidR="004305C2" w:rsidRPr="004A40A8" w:rsidRDefault="004305C2" w:rsidP="003C4B90">
      <w:pPr>
        <w:pStyle w:val="ListParagraph"/>
        <w:spacing w:after="0" w:line="240" w:lineRule="auto"/>
        <w:jc w:val="both"/>
        <w:rPr>
          <w:rFonts w:eastAsia="Aptos" w:cs="Times New Roman"/>
          <w:highlight w:val="yellow"/>
        </w:rPr>
      </w:pPr>
      <w:r w:rsidRPr="004A40A8">
        <w:rPr>
          <w:rFonts w:eastAsia="Aptos" w:cs="Times New Roman"/>
          <w:highlight w:val="yellow"/>
        </w:rPr>
        <w:t xml:space="preserve"> </w:t>
      </w:r>
    </w:p>
    <w:p w14:paraId="3AC23CF8" w14:textId="624C36AF" w:rsidR="004305C2" w:rsidRPr="004A40A8" w:rsidRDefault="004305C2" w:rsidP="00E40F42">
      <w:pPr>
        <w:pStyle w:val="Heading1"/>
        <w:numPr>
          <w:ilvl w:val="0"/>
          <w:numId w:val="25"/>
        </w:numPr>
        <w:spacing w:before="0" w:after="0" w:line="240" w:lineRule="auto"/>
        <w:rPr>
          <w:rFonts w:ascii="Times New Roman" w:hAnsi="Times New Roman" w:cs="Times New Roman"/>
          <w:b/>
          <w:bCs/>
          <w:color w:val="auto"/>
          <w:sz w:val="24"/>
          <w:szCs w:val="24"/>
        </w:rPr>
      </w:pPr>
      <w:bookmarkStart w:id="15" w:name="_Toc215730737"/>
      <w:r w:rsidRPr="004A40A8">
        <w:rPr>
          <w:rFonts w:ascii="Times New Roman" w:hAnsi="Times New Roman" w:cs="Times New Roman"/>
          <w:b/>
          <w:bCs/>
          <w:color w:val="auto"/>
          <w:sz w:val="24"/>
          <w:szCs w:val="24"/>
        </w:rPr>
        <w:t>Vispārējie mobilo sakaru infrastruktūras izvietošanas principi</w:t>
      </w:r>
      <w:bookmarkEnd w:id="15"/>
      <w:r w:rsidRPr="004A40A8">
        <w:rPr>
          <w:rFonts w:ascii="Times New Roman" w:hAnsi="Times New Roman" w:cs="Times New Roman"/>
          <w:b/>
          <w:bCs/>
          <w:color w:val="auto"/>
          <w:sz w:val="24"/>
          <w:szCs w:val="24"/>
        </w:rPr>
        <w:t xml:space="preserve"> </w:t>
      </w:r>
    </w:p>
    <w:p w14:paraId="444728A2" w14:textId="78DBD91C" w:rsidR="00AA43EC" w:rsidRPr="004A40A8" w:rsidRDefault="005D5F7C" w:rsidP="00E40F42">
      <w:pPr>
        <w:spacing w:after="0" w:line="240" w:lineRule="auto"/>
        <w:ind w:left="357"/>
        <w:jc w:val="both"/>
        <w:rPr>
          <w:rFonts w:cs="Times New Roman"/>
          <w:szCs w:val="24"/>
        </w:rPr>
      </w:pPr>
      <w:r w:rsidRPr="004A40A8">
        <w:rPr>
          <w:rFonts w:eastAsia="Times New Roman"/>
          <w:szCs w:val="24"/>
        </w:rPr>
        <w:t>Šajā nodaļā ir apskatīti</w:t>
      </w:r>
      <w:r w:rsidR="00336011" w:rsidRPr="004A40A8">
        <w:rPr>
          <w:rFonts w:eastAsia="Times New Roman"/>
          <w:szCs w:val="24"/>
        </w:rPr>
        <w:t xml:space="preserve"> </w:t>
      </w:r>
      <w:r w:rsidR="00336011" w:rsidRPr="004A40A8">
        <w:rPr>
          <w:rFonts w:cs="Times New Roman"/>
          <w:szCs w:val="24"/>
        </w:rPr>
        <w:t>vispārējie mobilo sakaru infrastruktūras izvietošanas principi.</w:t>
      </w:r>
      <w:r w:rsidR="00EC0D99" w:rsidRPr="004A40A8">
        <w:rPr>
          <w:rFonts w:cs="Times New Roman"/>
          <w:szCs w:val="24"/>
        </w:rPr>
        <w:t xml:space="preserve"> </w:t>
      </w:r>
    </w:p>
    <w:p w14:paraId="2F37F192" w14:textId="680A3FA3" w:rsidR="00F50197" w:rsidRPr="004A40A8" w:rsidRDefault="00E4421E" w:rsidP="00E40F42">
      <w:pPr>
        <w:pStyle w:val="Heading2"/>
        <w:numPr>
          <w:ilvl w:val="1"/>
          <w:numId w:val="25"/>
        </w:numPr>
        <w:spacing w:before="0" w:after="0" w:line="240" w:lineRule="auto"/>
        <w:rPr>
          <w:rFonts w:ascii="Times New Roman" w:hAnsi="Times New Roman" w:cs="Times New Roman"/>
          <w:b/>
          <w:bCs/>
          <w:color w:val="auto"/>
          <w:sz w:val="24"/>
          <w:szCs w:val="24"/>
        </w:rPr>
      </w:pPr>
      <w:bookmarkStart w:id="16" w:name="_Toc215730738"/>
      <w:r w:rsidRPr="004A40A8">
        <w:rPr>
          <w:rFonts w:ascii="Times New Roman" w:hAnsi="Times New Roman" w:cs="Times New Roman"/>
          <w:b/>
          <w:bCs/>
          <w:color w:val="auto"/>
          <w:sz w:val="24"/>
          <w:szCs w:val="24"/>
        </w:rPr>
        <w:t>Esošā situācija un problemātika</w:t>
      </w:r>
      <w:bookmarkEnd w:id="16"/>
      <w:r w:rsidR="00F50197" w:rsidRPr="004A40A8">
        <w:rPr>
          <w:rFonts w:ascii="Times New Roman" w:hAnsi="Times New Roman" w:cs="Times New Roman"/>
          <w:b/>
          <w:bCs/>
          <w:color w:val="auto"/>
          <w:sz w:val="24"/>
          <w:szCs w:val="24"/>
        </w:rPr>
        <w:t xml:space="preserve"> </w:t>
      </w:r>
    </w:p>
    <w:p w14:paraId="72AD0AB6" w14:textId="310F3383" w:rsidR="00F50197" w:rsidRPr="004A40A8" w:rsidRDefault="00F50197" w:rsidP="00E40F42">
      <w:pPr>
        <w:spacing w:after="0" w:line="240" w:lineRule="auto"/>
        <w:ind w:firstLine="720"/>
        <w:jc w:val="both"/>
        <w:rPr>
          <w:rFonts w:eastAsia="Times New Roman" w:cs="Times New Roman"/>
          <w:color w:val="000000"/>
          <w:lang w:eastAsia="lv-LV"/>
        </w:rPr>
      </w:pPr>
      <w:r w:rsidRPr="004A40A8">
        <w:t>Atzīmējams, ka atbilstoši ES stratēģiskajiem mērķiem katrā ES dalībvalstī līdz 2030. gadam visām apdzīvotajām teritorijām ir jābūt aptvertām ar nākamās paaudzes ātrdarbīgiem bezvadu tīkliem ar vismaz 5G līdzvērtīgu veiktspēju saskaņā ar tehnoloģiju neitralitātes principu.</w:t>
      </w:r>
    </w:p>
    <w:p w14:paraId="7380EECC" w14:textId="412D6CA6" w:rsidR="00F50197" w:rsidRPr="004A40A8" w:rsidRDefault="00F50197" w:rsidP="00E40F42">
      <w:pPr>
        <w:spacing w:after="0" w:line="240" w:lineRule="auto"/>
        <w:ind w:firstLine="720"/>
        <w:jc w:val="both"/>
        <w:rPr>
          <w:rFonts w:cs="Times New Roman"/>
          <w:szCs w:val="24"/>
        </w:rPr>
      </w:pPr>
      <w:r w:rsidRPr="004A40A8">
        <w:rPr>
          <w:rFonts w:cs="Times New Roman"/>
          <w:szCs w:val="24"/>
        </w:rPr>
        <w:t xml:space="preserve">Saskaņā ar Eiropas Komisijas uzdevumā </w:t>
      </w:r>
      <w:r w:rsidRPr="004A40A8">
        <w:rPr>
          <w:rFonts w:cs="Times New Roman"/>
          <w:noProof/>
          <w:szCs w:val="24"/>
        </w:rPr>
        <w:t>Omdia/Point Topic</w:t>
      </w:r>
      <w:r w:rsidRPr="004A40A8">
        <w:rPr>
          <w:rFonts w:cs="Times New Roman"/>
          <w:szCs w:val="24"/>
        </w:rPr>
        <w:t xml:space="preserve"> veiktā pētījuma datiem par 2024.gadu Latvija ievērojami atpaliek no pārējām ES dalībvalstīm 5G pārklājuma nodrošināšanā. Latvijā 5G (neatkarīgi no frekvenču izmantotās joslas) ir pieejams 71% mājsaimniecību, ES – aptuveni 90%. Savukārt 5G 3.6 GHz frekvenču joslā (3.4-3.8 GHz) Latvijā ir pieejams 53% mājsaimniecību, bet ES – aptuveni 68%. Arī attiecībā uz 5G teritoriālo pārklājumu Latvija atpaliek no pārējām ES dalībvalstīm un arī no ES vidējā rādītāja</w:t>
      </w:r>
      <w:r w:rsidR="009A358D">
        <w:rPr>
          <w:rFonts w:cs="Times New Roman"/>
          <w:szCs w:val="24"/>
        </w:rPr>
        <w:t xml:space="preserve"> </w:t>
      </w:r>
      <w:r w:rsidR="009A358D" w:rsidRPr="004A40A8">
        <w:rPr>
          <w:rFonts w:cs="Times New Roman"/>
          <w:szCs w:val="24"/>
        </w:rPr>
        <w:t>85%</w:t>
      </w:r>
      <w:r w:rsidR="009A358D">
        <w:rPr>
          <w:rFonts w:cs="Times New Roman"/>
          <w:szCs w:val="24"/>
        </w:rPr>
        <w:t xml:space="preserve"> (Latvijā - </w:t>
      </w:r>
      <w:r w:rsidRPr="004A40A8">
        <w:rPr>
          <w:rFonts w:cs="Times New Roman"/>
          <w:szCs w:val="24"/>
        </w:rPr>
        <w:t>71%</w:t>
      </w:r>
      <w:r w:rsidR="009A358D">
        <w:rPr>
          <w:rFonts w:cs="Times New Roman"/>
          <w:szCs w:val="24"/>
        </w:rPr>
        <w:t>).</w:t>
      </w:r>
      <w:r w:rsidRPr="004A40A8">
        <w:rPr>
          <w:rFonts w:cs="Times New Roman"/>
          <w:szCs w:val="24"/>
        </w:rPr>
        <w:t xml:space="preserve">   </w:t>
      </w:r>
    </w:p>
    <w:p w14:paraId="3455F43B" w14:textId="77777777" w:rsidR="00F50197" w:rsidRPr="004A40A8" w:rsidRDefault="00F50197" w:rsidP="00E40F42">
      <w:pPr>
        <w:spacing w:after="0" w:line="240" w:lineRule="auto"/>
        <w:ind w:firstLine="720"/>
        <w:jc w:val="both"/>
        <w:rPr>
          <w:rFonts w:cs="Times New Roman"/>
          <w:szCs w:val="24"/>
        </w:rPr>
      </w:pPr>
      <w:r w:rsidRPr="004A40A8">
        <w:rPr>
          <w:rFonts w:cs="Times New Roman"/>
          <w:szCs w:val="24"/>
        </w:rPr>
        <w:t>Detalizēta informācija ir pieejama ES 5G Observatorijas ziņojumā 2025. gadā</w:t>
      </w:r>
      <w:r w:rsidRPr="004A40A8">
        <w:rPr>
          <w:rStyle w:val="FootnoteReference"/>
          <w:rFonts w:cs="Times New Roman"/>
          <w:szCs w:val="24"/>
        </w:rPr>
        <w:footnoteReference w:id="21"/>
      </w:r>
      <w:r w:rsidRPr="004A40A8">
        <w:rPr>
          <w:rFonts w:cs="Times New Roman"/>
          <w:szCs w:val="24"/>
        </w:rPr>
        <w:t xml:space="preserve"> (informācija iesniegta digitālās desmitgades ziņojumam, uzraugot progresu ES 2030. gada digitālās savienojamības mērķu sasniegšanā).</w:t>
      </w:r>
    </w:p>
    <w:p w14:paraId="2FD0594B" w14:textId="0DEDC382" w:rsidR="00E4421E" w:rsidRPr="004A40A8" w:rsidRDefault="00F50197" w:rsidP="00E40F42">
      <w:pPr>
        <w:spacing w:after="0" w:line="240" w:lineRule="auto"/>
        <w:ind w:firstLine="720"/>
        <w:jc w:val="both"/>
        <w:rPr>
          <w:rFonts w:eastAsia="Times New Roman"/>
          <w:szCs w:val="24"/>
        </w:rPr>
      </w:pPr>
      <w:r w:rsidRPr="004A40A8">
        <w:rPr>
          <w:rFonts w:eastAsia="Times New Roman"/>
          <w:szCs w:val="24"/>
        </w:rPr>
        <w:t>Ņemot vērā iepriekšminēto, ļoti būtiski ir veicināt 5G tīkla izvēršanu un atbilstoši pakalpojumu pieejamību.</w:t>
      </w:r>
    </w:p>
    <w:p w14:paraId="33F44882" w14:textId="217E5527" w:rsidR="004305C2" w:rsidRPr="004A40A8" w:rsidRDefault="004305C2" w:rsidP="00E40F42">
      <w:pPr>
        <w:spacing w:after="0" w:line="240" w:lineRule="auto"/>
        <w:ind w:firstLine="720"/>
        <w:jc w:val="both"/>
        <w:rPr>
          <w:rFonts w:eastAsia="Times New Roman"/>
          <w:szCs w:val="24"/>
        </w:rPr>
      </w:pPr>
      <w:r w:rsidRPr="004A40A8">
        <w:rPr>
          <w:rFonts w:eastAsia="Times New Roman"/>
          <w:szCs w:val="24"/>
        </w:rPr>
        <w:t>Lai nodrošinātu mobilo sakaru pakalpojumu pieejamību, elektronisko sakaru komersanti izmanto dažādus datorizētus plānošanas rīkus, lai prognozētu signāla stiprumu un pakalpojumu pieejamību.</w:t>
      </w:r>
      <w:r w:rsidR="005D5F7C" w:rsidRPr="004A40A8">
        <w:rPr>
          <w:rFonts w:eastAsia="Times New Roman"/>
          <w:szCs w:val="24"/>
        </w:rPr>
        <w:t xml:space="preserve"> Ir jāņem vērā, ka,</w:t>
      </w:r>
      <w:r w:rsidRPr="004A40A8">
        <w:rPr>
          <w:rFonts w:eastAsia="Times New Roman"/>
          <w:szCs w:val="24"/>
        </w:rPr>
        <w:t xml:space="preserve"> palielinoties attālumam no mobilo sakaru bāzes stacijas līdz uztverošai/raidošajai iekārtai, vājinās elektromagnētiskā lauka intensitāte, tādējādi arī elektronisko sakaru pakalpojumu pieejamība,</w:t>
      </w:r>
      <w:r w:rsidR="00336011" w:rsidRPr="004A40A8">
        <w:rPr>
          <w:rFonts w:eastAsia="Times New Roman"/>
          <w:szCs w:val="24"/>
        </w:rPr>
        <w:t xml:space="preserve"> </w:t>
      </w:r>
      <w:r w:rsidRPr="004A40A8">
        <w:rPr>
          <w:rFonts w:eastAsia="Times New Roman"/>
          <w:szCs w:val="24"/>
        </w:rPr>
        <w:t>kā arī kvalitatīvās īpašības. Tādēļ</w:t>
      </w:r>
      <w:r w:rsidR="005D5F7C" w:rsidRPr="004A40A8">
        <w:rPr>
          <w:rFonts w:eastAsia="Times New Roman"/>
          <w:szCs w:val="24"/>
        </w:rPr>
        <w:t>, lai</w:t>
      </w:r>
      <w:r w:rsidRPr="004A40A8">
        <w:rPr>
          <w:rFonts w:eastAsia="Times New Roman"/>
          <w:szCs w:val="24"/>
        </w:rPr>
        <w:t xml:space="preserve"> uzlabo</w:t>
      </w:r>
      <w:r w:rsidR="005D5F7C" w:rsidRPr="004A40A8">
        <w:rPr>
          <w:rFonts w:eastAsia="Times New Roman"/>
          <w:szCs w:val="24"/>
        </w:rPr>
        <w:t>tu elektronisko</w:t>
      </w:r>
      <w:r w:rsidRPr="004A40A8">
        <w:rPr>
          <w:rFonts w:eastAsia="Times New Roman"/>
          <w:szCs w:val="24"/>
        </w:rPr>
        <w:t xml:space="preserve"> sakaru pakalpojumu pieejamību un noturību, operatori palielina mobilo sakaru bāzes staciju blīvumu konkrētā teritorijā</w:t>
      </w:r>
      <w:r w:rsidR="00336011" w:rsidRPr="004A40A8">
        <w:rPr>
          <w:rFonts w:eastAsia="Times New Roman"/>
          <w:szCs w:val="24"/>
        </w:rPr>
        <w:t xml:space="preserve">, </w:t>
      </w:r>
      <w:r w:rsidRPr="004A40A8">
        <w:rPr>
          <w:rFonts w:eastAsia="Times New Roman"/>
          <w:szCs w:val="24"/>
        </w:rPr>
        <w:t>lai nodrošinātu homogēnu un stabilu elektronisko sakaru pārklājumu. Šī problemātika īpaši uzsvērta</w:t>
      </w:r>
      <w:r w:rsidR="000E64E4">
        <w:rPr>
          <w:rFonts w:eastAsia="Times New Roman"/>
          <w:szCs w:val="24"/>
        </w:rPr>
        <w:t xml:space="preserve"> Ministru kabineta</w:t>
      </w:r>
      <w:r w:rsidR="000E64E4" w:rsidRPr="00C579F6">
        <w:rPr>
          <w:rFonts w:cs="Times New Roman"/>
        </w:rPr>
        <w:t xml:space="preserve"> </w:t>
      </w:r>
      <w:r w:rsidR="000E64E4" w:rsidRPr="009D4AA1">
        <w:rPr>
          <w:rFonts w:cs="Times New Roman"/>
        </w:rPr>
        <w:t xml:space="preserve"> 2020. gada 18. februār</w:t>
      </w:r>
      <w:r w:rsidR="000E64E4" w:rsidRPr="00C579F6">
        <w:rPr>
          <w:rFonts w:cs="Times New Roman"/>
        </w:rPr>
        <w:t xml:space="preserve">a </w:t>
      </w:r>
      <w:r w:rsidR="000E64E4" w:rsidRPr="009D4AA1">
        <w:rPr>
          <w:rFonts w:cs="Times New Roman"/>
        </w:rPr>
        <w:t>sēd</w:t>
      </w:r>
      <w:r w:rsidR="000E64E4" w:rsidRPr="00C579F6">
        <w:rPr>
          <w:rFonts w:cs="Times New Roman"/>
        </w:rPr>
        <w:t>ē</w:t>
      </w:r>
      <w:r w:rsidR="000E64E4">
        <w:rPr>
          <w:rFonts w:cs="Times New Roman"/>
        </w:rPr>
        <w:t xml:space="preserve"> pieņemtajā i</w:t>
      </w:r>
      <w:r w:rsidR="000E64E4" w:rsidRPr="00C579F6">
        <w:rPr>
          <w:rFonts w:cs="Times New Roman"/>
        </w:rPr>
        <w:t>nformatīva</w:t>
      </w:r>
      <w:r w:rsidR="000E64E4">
        <w:rPr>
          <w:rFonts w:cs="Times New Roman"/>
        </w:rPr>
        <w:t>jā</w:t>
      </w:r>
      <w:r w:rsidR="000E64E4" w:rsidRPr="00C579F6">
        <w:rPr>
          <w:rFonts w:cs="Times New Roman"/>
        </w:rPr>
        <w:t xml:space="preserve"> ziņojum</w:t>
      </w:r>
      <w:r w:rsidR="000E64E4">
        <w:rPr>
          <w:rFonts w:cs="Times New Roman"/>
        </w:rPr>
        <w:t>ā</w:t>
      </w:r>
      <w:r w:rsidR="000E64E4" w:rsidRPr="00C579F6">
        <w:rPr>
          <w:rFonts w:cs="Times New Roman"/>
        </w:rPr>
        <w:t xml:space="preserve"> </w:t>
      </w:r>
      <w:r w:rsidR="000E64E4">
        <w:rPr>
          <w:rFonts w:cs="Times New Roman"/>
        </w:rPr>
        <w:t>“</w:t>
      </w:r>
      <w:r w:rsidR="000E64E4" w:rsidRPr="00C579F6">
        <w:rPr>
          <w:rFonts w:cs="Times New Roman"/>
        </w:rPr>
        <w:t>Ceļvedis piektās paaudzes (5G) publisko mobilo elektronisko sakaru tīklu ieviešanai Latvijā</w:t>
      </w:r>
      <w:r w:rsidR="000E64E4">
        <w:rPr>
          <w:rFonts w:cs="Times New Roman"/>
        </w:rPr>
        <w:t xml:space="preserve">” (turpmāk - </w:t>
      </w:r>
      <w:r w:rsidR="000E64E4" w:rsidRPr="00C579F6">
        <w:rPr>
          <w:rFonts w:cs="Times New Roman"/>
        </w:rPr>
        <w:t xml:space="preserve"> </w:t>
      </w:r>
      <w:r w:rsidR="00117895" w:rsidRPr="004A40A8">
        <w:rPr>
          <w:rFonts w:eastAsia="Times New Roman"/>
          <w:szCs w:val="24"/>
        </w:rPr>
        <w:t>C</w:t>
      </w:r>
      <w:r w:rsidR="00117895" w:rsidRPr="004A40A8">
        <w:rPr>
          <w:rFonts w:cs="Times New Roman"/>
        </w:rPr>
        <w:t>eļved</w:t>
      </w:r>
      <w:r w:rsidR="000E64E4">
        <w:rPr>
          <w:rFonts w:cs="Times New Roman"/>
        </w:rPr>
        <w:t>is</w:t>
      </w:r>
      <w:r w:rsidR="00117895" w:rsidRPr="004A40A8">
        <w:rPr>
          <w:rFonts w:cs="Times New Roman"/>
        </w:rPr>
        <w:t xml:space="preserve"> 5G publisko mobilo elektronisko sakaru tīklu ieviešanai Latvijā</w:t>
      </w:r>
      <w:r w:rsidR="000E64E4">
        <w:rPr>
          <w:rFonts w:cs="Times New Roman"/>
        </w:rPr>
        <w:t>)</w:t>
      </w:r>
      <w:r w:rsidR="00751FA0">
        <w:rPr>
          <w:rFonts w:cs="Times New Roman"/>
        </w:rPr>
        <w:t xml:space="preserve">. </w:t>
      </w:r>
      <w:r w:rsidRPr="004A40A8">
        <w:rPr>
          <w:rFonts w:eastAsia="Times New Roman"/>
          <w:szCs w:val="24"/>
        </w:rPr>
        <w:t>Izmantojot radiofrekvenču spektru 3,5 GHz un augstāku “pēdējās jūdzes” nodrošināšanai, piemēram, vieta 5G mobilo sakaru tīklu bāzes stacijām pilsētās uz ielām var būt nepieciešama ik pa 350 m, bet ārpus pilsētām uz ceļiem ik pa 500 m. Līdz ar to 5G tīklu plānošana ir atšķirīga un komplicētāka par, piemēram, 3G vai 4G tīklu plānošan</w:t>
      </w:r>
      <w:r w:rsidR="00117895" w:rsidRPr="004A40A8">
        <w:rPr>
          <w:rFonts w:eastAsia="Times New Roman"/>
          <w:szCs w:val="24"/>
        </w:rPr>
        <w:t>u</w:t>
      </w:r>
      <w:r w:rsidRPr="004A40A8">
        <w:rPr>
          <w:rFonts w:eastAsia="Times New Roman"/>
          <w:szCs w:val="24"/>
        </w:rPr>
        <w:t xml:space="preserve">. Lai izvērstu 5G tīklus, būtiska loma ir atbalsta infrastruktūras pieejamībai, piemēram, kabeļu kanalizācijai, mastiem vai stabiem 5G raidītāju izvietošanai, kā arī elektroenerģijas </w:t>
      </w:r>
      <w:proofErr w:type="spellStart"/>
      <w:r w:rsidRPr="004A40A8">
        <w:rPr>
          <w:rFonts w:eastAsia="Times New Roman"/>
          <w:szCs w:val="24"/>
        </w:rPr>
        <w:t>pieslēgumiem</w:t>
      </w:r>
      <w:proofErr w:type="spellEnd"/>
      <w:r w:rsidRPr="004A40A8">
        <w:rPr>
          <w:rFonts w:eastAsia="Times New Roman"/>
          <w:szCs w:val="24"/>
        </w:rPr>
        <w:t>.</w:t>
      </w:r>
    </w:p>
    <w:p w14:paraId="3D8E7499" w14:textId="6BCE9330" w:rsidR="004305C2" w:rsidRPr="004A40A8" w:rsidRDefault="004305C2" w:rsidP="00E40F42">
      <w:pPr>
        <w:spacing w:after="0" w:line="240" w:lineRule="auto"/>
        <w:ind w:firstLine="720"/>
        <w:jc w:val="both"/>
      </w:pPr>
      <w:r w:rsidRPr="004A40A8">
        <w:t xml:space="preserve">Kad operators ir identificējis nepieciešamību </w:t>
      </w:r>
      <w:r w:rsidR="00492BDE" w:rsidRPr="004A40A8">
        <w:t>uzstādīt</w:t>
      </w:r>
      <w:r w:rsidRPr="004A40A8">
        <w:t xml:space="preserve"> jaun</w:t>
      </w:r>
      <w:r w:rsidR="00492BDE" w:rsidRPr="004A40A8">
        <w:t>u</w:t>
      </w:r>
      <w:r w:rsidRPr="004A40A8">
        <w:t xml:space="preserve"> bāzes stacij</w:t>
      </w:r>
      <w:r w:rsidR="00492BDE" w:rsidRPr="004A40A8">
        <w:t>u</w:t>
      </w:r>
      <w:r w:rsidRPr="004A40A8">
        <w:t>, ir jāatrod piemērota vieta. Vietas izvēli var ietekmēt šādi faktori: elektr</w:t>
      </w:r>
      <w:r w:rsidR="00117895" w:rsidRPr="004A40A8">
        <w:t>oapgādes</w:t>
      </w:r>
      <w:r w:rsidRPr="004A40A8">
        <w:t xml:space="preserve"> un optiskā</w:t>
      </w:r>
      <w:r w:rsidR="00AA43EC" w:rsidRPr="004A40A8">
        <w:t xml:space="preserve"> tīkla</w:t>
      </w:r>
      <w:r w:rsidRPr="004A40A8">
        <w:t xml:space="preserve"> </w:t>
      </w:r>
      <w:r w:rsidRPr="004A40A8">
        <w:rPr>
          <w:noProof/>
        </w:rPr>
        <w:t xml:space="preserve">pieslēguma </w:t>
      </w:r>
      <w:r w:rsidRPr="004A40A8">
        <w:t xml:space="preserve">pieejamība, piebraucamie ceļi, kā arī pieejamā infrastruktūra, apbūve, reljefs un faktori, kas ietekmē radiosignālu izplatīšanos. Elektronisko sakaru operatori pamatā cenšas izmantot jau izbūvētu infrastruktūru. </w:t>
      </w:r>
    </w:p>
    <w:p w14:paraId="1D1BF577" w14:textId="0392272D" w:rsidR="004305C2" w:rsidRPr="004A40A8" w:rsidRDefault="004305C2" w:rsidP="00E40F42">
      <w:pPr>
        <w:spacing w:after="0" w:line="240" w:lineRule="auto"/>
        <w:ind w:firstLine="720"/>
        <w:jc w:val="both"/>
      </w:pPr>
      <w:r w:rsidRPr="004A40A8">
        <w:lastRenderedPageBreak/>
        <w:t>Izvēloties vietas mobil</w:t>
      </w:r>
      <w:r w:rsidR="00AA43EC" w:rsidRPr="004A40A8">
        <w:t>o sakaru</w:t>
      </w:r>
      <w:r w:rsidRPr="004A40A8">
        <w:t xml:space="preserve"> infrastruktūrai, elektronisko sakaru operatoriem jāizvērtē pašvaldību izstrādāt</w:t>
      </w:r>
      <w:r w:rsidR="00AA43EC" w:rsidRPr="004A40A8">
        <w:t>ie</w:t>
      </w:r>
      <w:r w:rsidRPr="004A40A8">
        <w:t xml:space="preserve"> teritorijas attīstības plān</w:t>
      </w:r>
      <w:r w:rsidR="00AA43EC" w:rsidRPr="004A40A8">
        <w:t>i</w:t>
      </w:r>
      <w:r w:rsidRPr="004A40A8">
        <w:t>, kā arī jāveic klātienes vietas pārbaude, lai novērtētu vietas piemērotību klātienē. Operatori ievēro šādus vietas izvēles principus:</w:t>
      </w:r>
    </w:p>
    <w:p w14:paraId="54A48E93" w14:textId="105AA082" w:rsidR="004305C2" w:rsidRPr="004A40A8" w:rsidRDefault="004305C2" w:rsidP="00E40F42">
      <w:pPr>
        <w:pStyle w:val="ListParagraph"/>
        <w:numPr>
          <w:ilvl w:val="0"/>
          <w:numId w:val="16"/>
        </w:numPr>
        <w:spacing w:after="0" w:line="240" w:lineRule="auto"/>
        <w:jc w:val="both"/>
      </w:pPr>
      <w:r w:rsidRPr="004A40A8">
        <w:t xml:space="preserve">esošās būves (ēku, infrastruktūras būvju, to elementu) izmantošana. Lai neradītu papildu izmaksas, kas būtu jāsedz visiem galalietotājiem, nodrošinātu ātru tīkla izvēršanu, kā arī nepalielinātu ietekmi uz vidi, operatori pamatā izmanto jau izbūvēto pasīvo infrastruktūru. Noteiktās situācijās tiek meklēti veidi, lai mazinātu infrastruktūras negatīvo ietekmi uz ainavu vai dizainu, piemēram, novietojot mastu pie līdzīgām struktūrām, izmantot infrastruktūras maskēšanu (aplīmējot raidošos elementus ar dekoratīvām vai </w:t>
      </w:r>
      <w:r w:rsidRPr="004A40A8">
        <w:rPr>
          <w:noProof/>
        </w:rPr>
        <w:t>spoguļplēvēm),</w:t>
      </w:r>
      <w:r w:rsidRPr="004A40A8">
        <w:t xml:space="preserve"> nodrošinot vienkāršu dizainu vai piemērotas krāsas. Tiek ņemtas vērā ainavas un kultūrvēsturiskā mantojuma </w:t>
      </w:r>
      <w:r w:rsidR="00AA43EC" w:rsidRPr="004A40A8">
        <w:t>elementi</w:t>
      </w:r>
      <w:r w:rsidR="003C4B90">
        <w:t>;</w:t>
      </w:r>
    </w:p>
    <w:p w14:paraId="46EB6CAD" w14:textId="0ED98EB0" w:rsidR="00AA43EC" w:rsidRPr="004A40A8" w:rsidRDefault="00665128" w:rsidP="00E40F42">
      <w:pPr>
        <w:pStyle w:val="ListParagraph"/>
        <w:numPr>
          <w:ilvl w:val="0"/>
          <w:numId w:val="16"/>
        </w:numPr>
        <w:spacing w:after="0" w:line="240" w:lineRule="auto"/>
        <w:jc w:val="both"/>
      </w:pPr>
      <w:r>
        <w:t>v</w:t>
      </w:r>
      <w:r w:rsidR="004305C2" w:rsidRPr="004A40A8">
        <w:t xml:space="preserve">ietas vai infrastruktūras koplietošana vai </w:t>
      </w:r>
      <w:proofErr w:type="spellStart"/>
      <w:r w:rsidR="004305C2" w:rsidRPr="004A40A8">
        <w:t>kopvietošana</w:t>
      </w:r>
      <w:proofErr w:type="spellEnd"/>
      <w:r w:rsidR="004305C2" w:rsidRPr="004A40A8">
        <w:t>. Lai samazinātu sakaru infrastruktūras ietekmi uz vidi un vizuālo ietekmi, ir apsverama iespēja koplietot sakaru tīkla pasīvo infrastruktūru (mastus,</w:t>
      </w:r>
      <w:r w:rsidR="00AA43EC" w:rsidRPr="004A40A8">
        <w:t xml:space="preserve"> konteinerus</w:t>
      </w:r>
      <w:r w:rsidR="004305C2" w:rsidRPr="004A40A8">
        <w:t xml:space="preserve">) vai </w:t>
      </w:r>
      <w:r w:rsidR="004305C2" w:rsidRPr="004A40A8">
        <w:rPr>
          <w:noProof/>
        </w:rPr>
        <w:t>kopvietot</w:t>
      </w:r>
      <w:r w:rsidR="004305C2" w:rsidRPr="004A40A8">
        <w:t xml:space="preserve"> at</w:t>
      </w:r>
      <w:r w:rsidR="00AA43EC" w:rsidRPr="004A40A8">
        <w:t>bilstošo</w:t>
      </w:r>
      <w:r w:rsidR="004305C2" w:rsidRPr="004A40A8">
        <w:t xml:space="preserve"> vietu (uz jumta, būves u.c.)</w:t>
      </w:r>
      <w:r w:rsidR="003C4B90">
        <w:t>;</w:t>
      </w:r>
      <w:r w:rsidR="004305C2" w:rsidRPr="004A40A8">
        <w:t xml:space="preserve"> </w:t>
      </w:r>
    </w:p>
    <w:p w14:paraId="4DC410E7" w14:textId="34660002" w:rsidR="009B72B6" w:rsidRPr="004A40A8" w:rsidRDefault="00665128" w:rsidP="00E40F42">
      <w:pPr>
        <w:pStyle w:val="ListParagraph"/>
        <w:numPr>
          <w:ilvl w:val="0"/>
          <w:numId w:val="16"/>
        </w:numPr>
        <w:spacing w:after="0" w:line="240" w:lineRule="auto"/>
        <w:jc w:val="both"/>
      </w:pPr>
      <w:r>
        <w:t>i</w:t>
      </w:r>
      <w:r w:rsidR="004305C2" w:rsidRPr="004A40A8">
        <w:t xml:space="preserve">nfrastruktūras attīstībai operatori var izmantot arī tuvas darbības  bezvadu piekļuves punktus. </w:t>
      </w:r>
      <w:r w:rsidR="0087017F">
        <w:t>Š</w:t>
      </w:r>
      <w:r w:rsidR="004305C2" w:rsidRPr="004A40A8">
        <w:t>ādus infrastruktūras elementus ir lietderīgi izmantot vietās ar augstu dat</w:t>
      </w:r>
      <w:r w:rsidR="00AA43EC" w:rsidRPr="004A40A8">
        <w:t>u</w:t>
      </w:r>
      <w:r w:rsidR="004305C2" w:rsidRPr="004A40A8">
        <w:t xml:space="preserve"> izmantošanas intensitāti – piemēram, tirdzniecības un loģistikas centros u.c.</w:t>
      </w:r>
    </w:p>
    <w:p w14:paraId="0B9B2FE2" w14:textId="62DC21A5" w:rsidR="004305C2" w:rsidRPr="004A40A8" w:rsidRDefault="004305C2" w:rsidP="00E40F42">
      <w:pPr>
        <w:pStyle w:val="ListParagraph"/>
        <w:spacing w:after="0" w:line="240" w:lineRule="auto"/>
        <w:ind w:left="1080"/>
        <w:jc w:val="both"/>
      </w:pPr>
      <w:r w:rsidRPr="004A40A8">
        <w:t xml:space="preserve"> </w:t>
      </w:r>
    </w:p>
    <w:p w14:paraId="26073D74" w14:textId="1474D61E" w:rsidR="004305C2" w:rsidRPr="004A40A8" w:rsidRDefault="004305C2" w:rsidP="00E40F42">
      <w:pPr>
        <w:pStyle w:val="Heading2"/>
        <w:numPr>
          <w:ilvl w:val="1"/>
          <w:numId w:val="25"/>
        </w:numPr>
        <w:spacing w:before="0" w:after="0" w:line="240" w:lineRule="auto"/>
        <w:rPr>
          <w:rFonts w:ascii="Times New Roman" w:hAnsi="Times New Roman" w:cs="Times New Roman"/>
          <w:b/>
          <w:bCs/>
          <w:color w:val="auto"/>
          <w:sz w:val="24"/>
          <w:szCs w:val="24"/>
        </w:rPr>
      </w:pPr>
      <w:bookmarkStart w:id="17" w:name="_Toc215730739"/>
      <w:r w:rsidRPr="004A40A8">
        <w:rPr>
          <w:rFonts w:ascii="Times New Roman" w:hAnsi="Times New Roman" w:cs="Times New Roman"/>
          <w:b/>
          <w:bCs/>
          <w:color w:val="auto"/>
          <w:sz w:val="24"/>
          <w:szCs w:val="24"/>
        </w:rPr>
        <w:t>Iestāžu</w:t>
      </w:r>
      <w:r w:rsidR="006B2B59" w:rsidRPr="004A40A8">
        <w:rPr>
          <w:rFonts w:ascii="Times New Roman" w:hAnsi="Times New Roman" w:cs="Times New Roman"/>
          <w:b/>
          <w:bCs/>
          <w:color w:val="auto"/>
          <w:sz w:val="24"/>
          <w:szCs w:val="24"/>
        </w:rPr>
        <w:t xml:space="preserve"> un sabiedrības</w:t>
      </w:r>
      <w:r w:rsidRPr="004A40A8">
        <w:rPr>
          <w:rFonts w:ascii="Times New Roman" w:hAnsi="Times New Roman" w:cs="Times New Roman"/>
          <w:b/>
          <w:bCs/>
          <w:color w:val="auto"/>
          <w:sz w:val="24"/>
          <w:szCs w:val="24"/>
        </w:rPr>
        <w:t xml:space="preserve"> </w:t>
      </w:r>
      <w:r w:rsidR="006B2B59" w:rsidRPr="004A40A8">
        <w:rPr>
          <w:rFonts w:ascii="Times New Roman" w:hAnsi="Times New Roman" w:cs="Times New Roman"/>
          <w:b/>
          <w:bCs/>
          <w:color w:val="auto"/>
          <w:sz w:val="24"/>
          <w:szCs w:val="24"/>
        </w:rPr>
        <w:t>iesaiste</w:t>
      </w:r>
      <w:r w:rsidRPr="004A40A8">
        <w:rPr>
          <w:rFonts w:ascii="Times New Roman" w:hAnsi="Times New Roman" w:cs="Times New Roman"/>
          <w:b/>
          <w:bCs/>
          <w:color w:val="auto"/>
          <w:sz w:val="24"/>
          <w:szCs w:val="24"/>
        </w:rPr>
        <w:t xml:space="preserve"> platjoslas</w:t>
      </w:r>
      <w:r w:rsidR="009B72B6" w:rsidRPr="004A40A8">
        <w:rPr>
          <w:rFonts w:ascii="Times New Roman" w:hAnsi="Times New Roman" w:cs="Times New Roman"/>
          <w:b/>
          <w:bCs/>
          <w:color w:val="auto"/>
          <w:sz w:val="24"/>
          <w:szCs w:val="24"/>
        </w:rPr>
        <w:t xml:space="preserve"> elektronisko sakaru</w:t>
      </w:r>
      <w:r w:rsidRPr="004A40A8">
        <w:rPr>
          <w:rFonts w:ascii="Times New Roman" w:hAnsi="Times New Roman" w:cs="Times New Roman"/>
          <w:b/>
          <w:bCs/>
          <w:color w:val="auto"/>
          <w:sz w:val="24"/>
          <w:szCs w:val="24"/>
        </w:rPr>
        <w:t xml:space="preserve"> tīklu izvēršanā</w:t>
      </w:r>
      <w:bookmarkEnd w:id="17"/>
    </w:p>
    <w:p w14:paraId="7ECD5A7C" w14:textId="116813FA" w:rsidR="004305C2" w:rsidRPr="004A40A8" w:rsidRDefault="004305C2" w:rsidP="00E40F42">
      <w:pPr>
        <w:pStyle w:val="Heading3"/>
        <w:numPr>
          <w:ilvl w:val="2"/>
          <w:numId w:val="25"/>
        </w:numPr>
        <w:spacing w:before="0" w:after="0" w:line="240" w:lineRule="auto"/>
        <w:rPr>
          <w:rFonts w:ascii="Times New Roman" w:hAnsi="Times New Roman" w:cs="Times New Roman"/>
          <w:b/>
          <w:bCs/>
          <w:color w:val="auto"/>
          <w:sz w:val="24"/>
          <w:szCs w:val="24"/>
        </w:rPr>
      </w:pPr>
      <w:bookmarkStart w:id="18" w:name="_Toc215730740"/>
      <w:r w:rsidRPr="004A40A8">
        <w:rPr>
          <w:rFonts w:ascii="Times New Roman" w:hAnsi="Times New Roman" w:cs="Times New Roman"/>
          <w:b/>
          <w:bCs/>
          <w:color w:val="auto"/>
          <w:sz w:val="24"/>
          <w:szCs w:val="24"/>
        </w:rPr>
        <w:t xml:space="preserve">Pašvaldības </w:t>
      </w:r>
      <w:r w:rsidR="006B2B59" w:rsidRPr="004A40A8">
        <w:rPr>
          <w:rFonts w:ascii="Times New Roman" w:hAnsi="Times New Roman" w:cs="Times New Roman"/>
          <w:b/>
          <w:bCs/>
          <w:color w:val="auto"/>
          <w:sz w:val="24"/>
          <w:szCs w:val="24"/>
        </w:rPr>
        <w:t>iesaiste</w:t>
      </w:r>
      <w:r w:rsidR="00F57226" w:rsidRPr="004A40A8">
        <w:rPr>
          <w:rFonts w:ascii="Times New Roman" w:hAnsi="Times New Roman" w:cs="Times New Roman"/>
          <w:b/>
          <w:bCs/>
          <w:color w:val="auto"/>
          <w:sz w:val="24"/>
          <w:szCs w:val="24"/>
        </w:rPr>
        <w:t xml:space="preserve"> mobilo sakaru infrastruktūras izvietošanai nepieciešam</w:t>
      </w:r>
      <w:r w:rsidR="00C20121" w:rsidRPr="004A40A8">
        <w:rPr>
          <w:rFonts w:ascii="Times New Roman" w:hAnsi="Times New Roman" w:cs="Times New Roman"/>
          <w:b/>
          <w:bCs/>
          <w:color w:val="auto"/>
          <w:sz w:val="24"/>
          <w:szCs w:val="24"/>
        </w:rPr>
        <w:t xml:space="preserve">ās </w:t>
      </w:r>
      <w:r w:rsidRPr="004A40A8">
        <w:rPr>
          <w:rFonts w:ascii="Times New Roman" w:hAnsi="Times New Roman" w:cs="Times New Roman"/>
          <w:b/>
          <w:bCs/>
          <w:color w:val="auto"/>
          <w:sz w:val="24"/>
          <w:szCs w:val="24"/>
        </w:rPr>
        <w:t>viet</w:t>
      </w:r>
      <w:r w:rsidR="00C20121" w:rsidRPr="004A40A8">
        <w:rPr>
          <w:rFonts w:ascii="Times New Roman" w:hAnsi="Times New Roman" w:cs="Times New Roman"/>
          <w:b/>
          <w:bCs/>
          <w:color w:val="auto"/>
          <w:sz w:val="24"/>
          <w:szCs w:val="24"/>
        </w:rPr>
        <w:t>as</w:t>
      </w:r>
      <w:r w:rsidRPr="004A40A8">
        <w:rPr>
          <w:rFonts w:ascii="Times New Roman" w:hAnsi="Times New Roman" w:cs="Times New Roman"/>
          <w:b/>
          <w:bCs/>
          <w:color w:val="auto"/>
          <w:sz w:val="24"/>
          <w:szCs w:val="24"/>
        </w:rPr>
        <w:t xml:space="preserve"> pieejamība</w:t>
      </w:r>
      <w:r w:rsidR="00C20121" w:rsidRPr="004A40A8">
        <w:rPr>
          <w:rFonts w:ascii="Times New Roman" w:hAnsi="Times New Roman" w:cs="Times New Roman"/>
          <w:b/>
          <w:bCs/>
          <w:color w:val="auto"/>
          <w:sz w:val="24"/>
          <w:szCs w:val="24"/>
        </w:rPr>
        <w:t>s nodrošināšanā</w:t>
      </w:r>
      <w:bookmarkEnd w:id="18"/>
    </w:p>
    <w:p w14:paraId="271554F7" w14:textId="134AA882" w:rsidR="004305C2" w:rsidRPr="004A40A8" w:rsidRDefault="00C242A9" w:rsidP="00E40F42">
      <w:pPr>
        <w:shd w:val="clear" w:color="auto" w:fill="FFFFFF"/>
        <w:spacing w:after="0" w:line="240" w:lineRule="auto"/>
        <w:ind w:firstLine="720"/>
        <w:jc w:val="both"/>
      </w:pPr>
      <w:r w:rsidRPr="004A40A8">
        <w:t>Nozare ir norādījusi, ka praksē i</w:t>
      </w:r>
      <w:r w:rsidR="004305C2" w:rsidRPr="004A40A8">
        <w:t>r konstatētas situācijas, kad mobilo sakaru operatori nevar nodrošināt pietiekamas kapacitātes</w:t>
      </w:r>
      <w:r w:rsidR="00AE080F" w:rsidRPr="004A40A8">
        <w:t xml:space="preserve"> mobilo sakaru</w:t>
      </w:r>
      <w:r w:rsidR="004305C2" w:rsidRPr="004A40A8">
        <w:t xml:space="preserve"> pārklājumu noteiktā ģeogrāfiskā vietā</w:t>
      </w:r>
      <w:r w:rsidR="00AE080F" w:rsidRPr="004A40A8">
        <w:t xml:space="preserve"> </w:t>
      </w:r>
      <w:r w:rsidR="004305C2" w:rsidRPr="004A40A8">
        <w:t xml:space="preserve">tādēļ, ka tuvāko zemes vai būvju īpašnieki </w:t>
      </w:r>
      <w:r w:rsidR="00AA43EC" w:rsidRPr="004A40A8">
        <w:t>liedz</w:t>
      </w:r>
      <w:r w:rsidR="004305C2" w:rsidRPr="004A40A8">
        <w:t xml:space="preserve"> piekļuvi</w:t>
      </w:r>
      <w:r w:rsidR="00AA43EC" w:rsidRPr="004A40A8">
        <w:t xml:space="preserve"> zemei vai būvei, kas</w:t>
      </w:r>
      <w:r w:rsidR="004305C2" w:rsidRPr="004A40A8">
        <w:t xml:space="preserve"> </w:t>
      </w:r>
      <w:r w:rsidR="00AA43EC" w:rsidRPr="004A40A8">
        <w:t xml:space="preserve">nepieciešama mobilo sakaru infrastruktūras izvietošanai. </w:t>
      </w:r>
      <w:r w:rsidR="004305C2" w:rsidRPr="004A40A8">
        <w:t xml:space="preserve">Šādas situācijas rodas galvenokārt blīvi apdzīvotās teritorijās. </w:t>
      </w:r>
    </w:p>
    <w:p w14:paraId="783F2FDA" w14:textId="0FAB3CCD" w:rsidR="004305C2" w:rsidRPr="004A40A8" w:rsidRDefault="004305C2" w:rsidP="00E40F42">
      <w:pPr>
        <w:shd w:val="clear" w:color="auto" w:fill="FFFFFF"/>
        <w:spacing w:after="0" w:line="240" w:lineRule="auto"/>
        <w:ind w:firstLine="720"/>
        <w:jc w:val="both"/>
      </w:pPr>
      <w:r w:rsidRPr="004A40A8">
        <w:t>Šādos gadījumos</w:t>
      </w:r>
      <w:r w:rsidR="00AE080F" w:rsidRPr="004A40A8">
        <w:t xml:space="preserve"> ļoti būtisks ir pašvaldību atbalsts risinājumu rašanā</w:t>
      </w:r>
      <w:r w:rsidRPr="004A40A8">
        <w:t>, lai veicinātu attiecīgas infrastruktūras (</w:t>
      </w:r>
      <w:r w:rsidR="00AE080F" w:rsidRPr="004A40A8">
        <w:t xml:space="preserve">piemēram, </w:t>
      </w:r>
      <w:r w:rsidRPr="004A40A8">
        <w:t>vietas uz</w:t>
      </w:r>
      <w:r w:rsidR="00AE080F" w:rsidRPr="004A40A8">
        <w:t xml:space="preserve"> ēkas</w:t>
      </w:r>
      <w:r w:rsidRPr="004A40A8">
        <w:t xml:space="preserve"> jumta, infrastruktūras būves u.c.) atrašanu un atvēlēšanu mobilo sakaru nodrošināšanai. Atsevišķās situācijās Satiksmes ministrija ir veicinājusi diskusiju noteiktās pašvaldībās (piemēram, Jūrmalas pilsētā) par vietas nodrošināšanu sakaru tīklu </w:t>
      </w:r>
      <w:r w:rsidR="00AE080F" w:rsidRPr="004A40A8">
        <w:t>izvēršanai, jo elektronisko s</w:t>
      </w:r>
      <w:r w:rsidRPr="004A40A8">
        <w:t>akaru pakalpojumu sniegšana bez</w:t>
      </w:r>
      <w:r w:rsidR="00AE080F" w:rsidRPr="004A40A8">
        <w:t xml:space="preserve"> atbilstošas</w:t>
      </w:r>
      <w:r w:rsidRPr="004A40A8">
        <w:t xml:space="preserve"> infrastruktūras nav iespējama.</w:t>
      </w:r>
    </w:p>
    <w:p w14:paraId="2B1BC8E4" w14:textId="73CAB39D" w:rsidR="004305C2" w:rsidRPr="004A40A8" w:rsidRDefault="004305C2" w:rsidP="00E40F42">
      <w:pPr>
        <w:shd w:val="clear" w:color="auto" w:fill="FFFFFF"/>
        <w:spacing w:after="0" w:line="240" w:lineRule="auto"/>
        <w:ind w:firstLine="720"/>
        <w:jc w:val="both"/>
      </w:pPr>
      <w:r w:rsidRPr="004A40A8">
        <w:t>Situācijās, kad</w:t>
      </w:r>
      <w:r w:rsidR="00AE080F" w:rsidRPr="004A40A8">
        <w:t xml:space="preserve"> atbilstoši elektronisko sakaru pakalpojumi</w:t>
      </w:r>
      <w:r w:rsidRPr="004A40A8">
        <w:t xml:space="preserve"> netiek nodrošināti </w:t>
      </w:r>
      <w:r w:rsidR="00AE080F" w:rsidRPr="004A40A8">
        <w:t xml:space="preserve">infrastruktūras izvietošanai nepieciešamo </w:t>
      </w:r>
      <w:r w:rsidRPr="004A40A8">
        <w:t xml:space="preserve">vietu trūkuma dēļ, pašvaldības iesaistīšanās un koordinējoša rīcība ir izšķiroša situācijas atrisināšanai,  piedāvājot alternatīvas. </w:t>
      </w:r>
    </w:p>
    <w:p w14:paraId="04CD2187" w14:textId="3EA38E75" w:rsidR="004305C2" w:rsidRDefault="004305C2" w:rsidP="00E40F42">
      <w:pPr>
        <w:shd w:val="clear" w:color="auto" w:fill="FFFFFF"/>
        <w:spacing w:after="0" w:line="240" w:lineRule="auto"/>
        <w:ind w:firstLine="709"/>
        <w:jc w:val="both"/>
      </w:pPr>
      <w:r w:rsidRPr="004A40A8">
        <w:rPr>
          <w:rFonts w:cs="Times New Roman"/>
          <w:b/>
          <w:bCs/>
          <w:szCs w:val="24"/>
        </w:rPr>
        <w:t>Ieteikums:</w:t>
      </w:r>
      <w:r w:rsidRPr="004A40A8">
        <w:rPr>
          <w:rFonts w:cs="Times New Roman"/>
          <w:szCs w:val="24"/>
        </w:rPr>
        <w:t xml:space="preserve"> Identificēt  pašvaldības</w:t>
      </w:r>
      <w:r w:rsidR="00AE080F" w:rsidRPr="004A40A8">
        <w:rPr>
          <w:rFonts w:cs="Times New Roman"/>
          <w:szCs w:val="24"/>
        </w:rPr>
        <w:t xml:space="preserve"> teritorijās</w:t>
      </w:r>
      <w:r w:rsidRPr="004A40A8">
        <w:rPr>
          <w:rFonts w:cs="Times New Roman"/>
          <w:szCs w:val="24"/>
        </w:rPr>
        <w:t xml:space="preserve"> </w:t>
      </w:r>
      <w:r w:rsidR="00AE080F" w:rsidRPr="004A40A8">
        <w:rPr>
          <w:rFonts w:cs="Times New Roman"/>
          <w:szCs w:val="24"/>
        </w:rPr>
        <w:t>(</w:t>
      </w:r>
      <w:r w:rsidRPr="004A40A8">
        <w:rPr>
          <w:rFonts w:cs="Times New Roman"/>
          <w:szCs w:val="24"/>
        </w:rPr>
        <w:t>attīstības zonās</w:t>
      </w:r>
      <w:r w:rsidR="00AE080F" w:rsidRPr="004A40A8">
        <w:rPr>
          <w:rFonts w:cs="Times New Roman"/>
          <w:szCs w:val="24"/>
        </w:rPr>
        <w:t>)</w:t>
      </w:r>
      <w:r w:rsidRPr="004A40A8">
        <w:rPr>
          <w:rFonts w:cs="Times New Roman"/>
          <w:szCs w:val="24"/>
        </w:rPr>
        <w:t xml:space="preserve"> vietas, kurās nav pieejami</w:t>
      </w:r>
      <w:r w:rsidR="00AE080F" w:rsidRPr="004A40A8">
        <w:rPr>
          <w:rFonts w:cs="Times New Roman"/>
          <w:szCs w:val="24"/>
        </w:rPr>
        <w:t xml:space="preserve"> ES stratēģiskajiem mērķiem atbilstoši </w:t>
      </w:r>
      <w:r w:rsidRPr="004A40A8">
        <w:rPr>
          <w:rFonts w:cs="Times New Roman"/>
          <w:szCs w:val="24"/>
        </w:rPr>
        <w:t>elektronisk</w:t>
      </w:r>
      <w:r w:rsidR="00AE080F" w:rsidRPr="004A40A8">
        <w:rPr>
          <w:rFonts w:cs="Times New Roman"/>
          <w:szCs w:val="24"/>
        </w:rPr>
        <w:t>o</w:t>
      </w:r>
      <w:r w:rsidRPr="004A40A8">
        <w:rPr>
          <w:rFonts w:cs="Times New Roman"/>
          <w:szCs w:val="24"/>
        </w:rPr>
        <w:t xml:space="preserve"> sakar</w:t>
      </w:r>
      <w:r w:rsidR="00AE080F" w:rsidRPr="004A40A8">
        <w:rPr>
          <w:rFonts w:cs="Times New Roman"/>
          <w:szCs w:val="24"/>
        </w:rPr>
        <w:t xml:space="preserve">u pakalpojumi </w:t>
      </w:r>
      <w:r w:rsidRPr="004A40A8">
        <w:rPr>
          <w:rFonts w:cs="Times New Roman"/>
          <w:szCs w:val="24"/>
        </w:rPr>
        <w:t xml:space="preserve">un nepieciešamības gadījumā organizēt sadarbību starp vietējo kopienu un elektronisko sakaru komersantiem, </w:t>
      </w:r>
      <w:r w:rsidRPr="004A40A8">
        <w:t>nodrošinot vietu</w:t>
      </w:r>
      <w:r w:rsidR="00AE080F" w:rsidRPr="004A40A8">
        <w:t xml:space="preserve"> nepieciešam</w:t>
      </w:r>
      <w:r w:rsidR="007274E7">
        <w:t>ās</w:t>
      </w:r>
      <w:r w:rsidR="00AE080F" w:rsidRPr="004A40A8">
        <w:t xml:space="preserve"> elektronisko sakaru </w:t>
      </w:r>
      <w:r w:rsidRPr="004A40A8">
        <w:t xml:space="preserve"> infrastruktūras izvēršanai. </w:t>
      </w:r>
    </w:p>
    <w:p w14:paraId="5C80DDA1" w14:textId="77777777" w:rsidR="003C4B90" w:rsidRPr="004A40A8" w:rsidRDefault="003C4B90" w:rsidP="00E40F42">
      <w:pPr>
        <w:shd w:val="clear" w:color="auto" w:fill="FFFFFF"/>
        <w:spacing w:after="0" w:line="240" w:lineRule="auto"/>
        <w:ind w:firstLine="709"/>
        <w:jc w:val="both"/>
      </w:pPr>
    </w:p>
    <w:p w14:paraId="6B3FAE01" w14:textId="2C695898" w:rsidR="004305C2" w:rsidRPr="004A40A8" w:rsidRDefault="004305C2" w:rsidP="00E40F42">
      <w:pPr>
        <w:pStyle w:val="Heading3"/>
        <w:numPr>
          <w:ilvl w:val="2"/>
          <w:numId w:val="25"/>
        </w:numPr>
        <w:spacing w:before="0" w:after="0" w:line="240" w:lineRule="auto"/>
        <w:rPr>
          <w:rFonts w:ascii="Times New Roman" w:eastAsia="Times New Roman" w:hAnsi="Times New Roman" w:cs="Times New Roman"/>
          <w:b/>
          <w:bCs/>
          <w:color w:val="auto"/>
          <w:sz w:val="24"/>
          <w:szCs w:val="24"/>
        </w:rPr>
      </w:pPr>
      <w:bookmarkStart w:id="19" w:name="_Toc215730741"/>
      <w:r w:rsidRPr="004A40A8">
        <w:rPr>
          <w:rFonts w:ascii="Times New Roman" w:hAnsi="Times New Roman" w:cs="Times New Roman"/>
          <w:b/>
          <w:bCs/>
          <w:color w:val="auto"/>
          <w:sz w:val="24"/>
          <w:szCs w:val="24"/>
        </w:rPr>
        <w:t>Platjoslas</w:t>
      </w:r>
      <w:r w:rsidR="00BF75EE" w:rsidRPr="004A40A8">
        <w:rPr>
          <w:rFonts w:ascii="Times New Roman" w:hAnsi="Times New Roman" w:cs="Times New Roman"/>
          <w:b/>
          <w:bCs/>
          <w:color w:val="auto"/>
          <w:sz w:val="24"/>
          <w:szCs w:val="24"/>
        </w:rPr>
        <w:t xml:space="preserve"> elektronisko sakaru tīkl</w:t>
      </w:r>
      <w:r w:rsidR="006B2B59" w:rsidRPr="004A40A8">
        <w:rPr>
          <w:rFonts w:ascii="Times New Roman" w:hAnsi="Times New Roman" w:cs="Times New Roman"/>
          <w:b/>
          <w:bCs/>
          <w:color w:val="auto"/>
          <w:sz w:val="24"/>
          <w:szCs w:val="24"/>
        </w:rPr>
        <w:t>u infrastruktūras paredzēšana pašvaldību teritorijās</w:t>
      </w:r>
      <w:bookmarkEnd w:id="19"/>
    </w:p>
    <w:p w14:paraId="05035B85" w14:textId="3A6E81EF" w:rsidR="004305C2" w:rsidRPr="004A40A8" w:rsidRDefault="00E52829" w:rsidP="00E40F42">
      <w:pPr>
        <w:spacing w:after="0" w:line="240" w:lineRule="auto"/>
        <w:ind w:firstLine="720"/>
        <w:jc w:val="both"/>
        <w:rPr>
          <w:rFonts w:eastAsia="Times New Roman"/>
          <w:szCs w:val="24"/>
        </w:rPr>
      </w:pPr>
      <w:r w:rsidRPr="004A40A8">
        <w:rPr>
          <w:rFonts w:eastAsia="Times New Roman"/>
          <w:szCs w:val="24"/>
        </w:rPr>
        <w:t>C</w:t>
      </w:r>
      <w:r w:rsidRPr="004A40A8">
        <w:rPr>
          <w:rFonts w:cs="Times New Roman"/>
        </w:rPr>
        <w:t xml:space="preserve">eļvedī 5G publisko mobilo elektronisko sakaru tīklu ieviešanai Latvijā </w:t>
      </w:r>
      <w:r w:rsidR="005D62D1" w:rsidRPr="004A40A8">
        <w:rPr>
          <w:rFonts w:eastAsia="Times New Roman"/>
          <w:szCs w:val="24"/>
        </w:rPr>
        <w:t>norādīts, ka, ņ</w:t>
      </w:r>
      <w:r w:rsidR="004305C2" w:rsidRPr="004A40A8">
        <w:rPr>
          <w:rFonts w:eastAsia="Times New Roman"/>
          <w:szCs w:val="24"/>
        </w:rPr>
        <w:t xml:space="preserve">emot vērā, ka platjoslas tīkla izvēršana ir nozīmīgs finansiālais slogs </w:t>
      </w:r>
      <w:r w:rsidR="004305C2" w:rsidRPr="004A40A8">
        <w:rPr>
          <w:rFonts w:eastAsia="Times New Roman"/>
          <w:szCs w:val="24"/>
        </w:rPr>
        <w:lastRenderedPageBreak/>
        <w:t xml:space="preserve">elektronisko sakaru komersantam, ir būtiski, ka pašvaldības un to nevalstiskās organizācijas īsteno savstarpēju dialogu ar elektronisko sakaru komersantiem, kā arī pašvaldības teritorijā strādājošiem uzņēmumiem, kas būtu potenciālie 5G tīklu lietotāji, lai detalizētākā līmenī apzinātu 5G mobilo sakaru tīkla nepieciešamību pašvaldību teritorijā un racionāli plānotu elektronisko sakaru tīklu infrastruktūras izvēršanu. Minēto varētu veikt, piemēram, izstrādājot pašvaldību teritorijas attīstības plānojumus. Saskaņā ar Teritorijas attīstības plānošanas likuma 12.panta pirmo daļu vietējā pašvaldība izstrādā un apstiprina vietējās pašvaldības attīstības stratēģiju, attīstības programmu, teritorijas plānojumu, </w:t>
      </w:r>
      <w:proofErr w:type="spellStart"/>
      <w:r w:rsidR="004305C2" w:rsidRPr="004A40A8">
        <w:rPr>
          <w:rFonts w:eastAsia="Times New Roman"/>
          <w:szCs w:val="24"/>
        </w:rPr>
        <w:t>lokālplānojumus</w:t>
      </w:r>
      <w:proofErr w:type="spellEnd"/>
      <w:r w:rsidR="004305C2" w:rsidRPr="004A40A8">
        <w:rPr>
          <w:rFonts w:eastAsia="Times New Roman"/>
          <w:szCs w:val="24"/>
        </w:rPr>
        <w:t>, detālplānojumus un tematiskos plānojumus. Šajos plānos būtu nepieciešams iekļaut pašvaldības vajadzības un plānus attiecībā uz platjoslas interneta pieejamības nepieciešamību:</w:t>
      </w:r>
    </w:p>
    <w:p w14:paraId="6CDABA3B" w14:textId="051DEF54" w:rsidR="004305C2" w:rsidRPr="004A40A8" w:rsidRDefault="00EA45F3" w:rsidP="00E40F42">
      <w:pPr>
        <w:spacing w:after="0" w:line="240" w:lineRule="auto"/>
        <w:ind w:firstLine="720"/>
        <w:jc w:val="both"/>
      </w:pPr>
      <w:r w:rsidRPr="004A40A8">
        <w:t xml:space="preserve">Nepieciešams </w:t>
      </w:r>
      <w:r w:rsidR="004305C2" w:rsidRPr="004A40A8">
        <w:t>veicināt fiksēt</w:t>
      </w:r>
      <w:r w:rsidR="005D62D1" w:rsidRPr="004A40A8">
        <w:t>o</w:t>
      </w:r>
      <w:r w:rsidR="004305C2" w:rsidRPr="004A40A8">
        <w:t xml:space="preserve"> un mobil</w:t>
      </w:r>
      <w:r w:rsidR="005D62D1" w:rsidRPr="004A40A8">
        <w:t>o</w:t>
      </w:r>
      <w:r w:rsidR="004305C2" w:rsidRPr="004A40A8">
        <w:t xml:space="preserve"> platjoslas tīklu paplašināšanu</w:t>
      </w:r>
      <w:r w:rsidRPr="004A40A8">
        <w:t>,</w:t>
      </w:r>
      <w:r w:rsidR="004305C2" w:rsidRPr="004A40A8">
        <w:t xml:space="preserve"> nodrošinot, ka vietējie</w:t>
      </w:r>
      <w:r w:rsidR="005D62D1" w:rsidRPr="004A40A8">
        <w:t xml:space="preserve"> attīstības</w:t>
      </w:r>
      <w:r w:rsidR="004305C2" w:rsidRPr="004A40A8">
        <w:t xml:space="preserve"> plāni efektīvi atbalsta digitālās infrastruktūras izvēršanu</w:t>
      </w:r>
      <w:r w:rsidRPr="004A40A8">
        <w:t>:</w:t>
      </w:r>
    </w:p>
    <w:p w14:paraId="672C597B" w14:textId="39EDD674" w:rsidR="004305C2" w:rsidRPr="004A40A8" w:rsidRDefault="003C4B90" w:rsidP="00E40F42">
      <w:pPr>
        <w:pStyle w:val="ListParagraph"/>
        <w:numPr>
          <w:ilvl w:val="0"/>
          <w:numId w:val="19"/>
        </w:numPr>
        <w:spacing w:after="0" w:line="240" w:lineRule="auto"/>
        <w:jc w:val="both"/>
      </w:pPr>
      <w:r>
        <w:t>v</w:t>
      </w:r>
      <w:r w:rsidR="004305C2" w:rsidRPr="004A40A8">
        <w:t xml:space="preserve">ietējos teritorijas plānošanas dokumentos nepieciešams identificēt tās teritorijas (vietas), kurās nepieciešams nodrošināt platjoslas fiksēto un mobilo elektronisko sakaru tīklu darbību (piemēram, skolas, svarīgākās publiskās iestādes, sabiedrisko pakalpojumu sniedzēji un komercdarbības centri, transporta un loģistikas centri, </w:t>
      </w:r>
      <w:r w:rsidR="004305C2" w:rsidRPr="004A40A8">
        <w:rPr>
          <w:noProof/>
        </w:rPr>
        <w:t>jaunbūvējamie</w:t>
      </w:r>
      <w:r w:rsidR="004305C2" w:rsidRPr="004A40A8">
        <w:t xml:space="preserve"> ciemati vai projektējamās ražotnes u.c.). Balstoties uz šo informāciju, elektronisko sakaru komersanti varēs </w:t>
      </w:r>
      <w:r w:rsidR="005D62D1" w:rsidRPr="004A40A8">
        <w:t>izstrādāt</w:t>
      </w:r>
      <w:r w:rsidR="004305C2" w:rsidRPr="004A40A8">
        <w:t xml:space="preserve"> savus elektronisko sakaru tīklu attīstības plānus, ņemot vērā pašvaldības vajadzības un ieceres</w:t>
      </w:r>
      <w:r>
        <w:t>;</w:t>
      </w:r>
      <w:r w:rsidR="004305C2" w:rsidRPr="004A40A8">
        <w:t xml:space="preserve">  </w:t>
      </w:r>
    </w:p>
    <w:p w14:paraId="2B71C11D" w14:textId="5E56A569" w:rsidR="004305C2" w:rsidRPr="004A40A8" w:rsidRDefault="004305C2" w:rsidP="00E40F42">
      <w:pPr>
        <w:pStyle w:val="ListParagraph"/>
        <w:numPr>
          <w:ilvl w:val="0"/>
          <w:numId w:val="19"/>
        </w:numPr>
        <w:spacing w:after="0" w:line="240" w:lineRule="auto"/>
        <w:jc w:val="both"/>
        <w:rPr>
          <w:rFonts w:eastAsia="Times New Roman"/>
          <w:szCs w:val="24"/>
        </w:rPr>
      </w:pPr>
      <w:r w:rsidRPr="004A40A8">
        <w:rPr>
          <w:rFonts w:eastAsia="Times New Roman"/>
          <w:szCs w:val="24"/>
        </w:rPr>
        <w:t>nepieciešams teritoriju plānošanas dokumentos</w:t>
      </w:r>
      <w:r w:rsidR="005104C6">
        <w:rPr>
          <w:rFonts w:eastAsia="Times New Roman"/>
          <w:szCs w:val="24"/>
        </w:rPr>
        <w:t xml:space="preserve">, </w:t>
      </w:r>
      <w:r w:rsidR="005104C6" w:rsidRPr="005104C6">
        <w:rPr>
          <w:rFonts w:eastAsia="Times New Roman"/>
          <w:szCs w:val="24"/>
        </w:rPr>
        <w:t>piemēram</w:t>
      </w:r>
      <w:r w:rsidR="005104C6">
        <w:rPr>
          <w:rFonts w:eastAsia="Times New Roman"/>
          <w:szCs w:val="24"/>
        </w:rPr>
        <w:t>,</w:t>
      </w:r>
      <w:r w:rsidR="005104C6" w:rsidRPr="005104C6">
        <w:rPr>
          <w:rFonts w:eastAsia="Times New Roman"/>
          <w:szCs w:val="24"/>
        </w:rPr>
        <w:t xml:space="preserve"> ilgtspējīgas attīstības stratēģijā</w:t>
      </w:r>
      <w:r w:rsidRPr="004A40A8">
        <w:rPr>
          <w:rFonts w:eastAsia="Times New Roman"/>
          <w:szCs w:val="24"/>
        </w:rPr>
        <w:t xml:space="preserve"> </w:t>
      </w:r>
      <w:r w:rsidR="007274E7">
        <w:rPr>
          <w:rFonts w:eastAsia="Times New Roman"/>
          <w:szCs w:val="24"/>
        </w:rPr>
        <w:t>paredzēt</w:t>
      </w:r>
      <w:r w:rsidRPr="004A40A8">
        <w:rPr>
          <w:rFonts w:eastAsia="Times New Roman"/>
          <w:szCs w:val="24"/>
        </w:rPr>
        <w:t xml:space="preserve"> </w:t>
      </w:r>
      <w:r w:rsidRPr="004A40A8">
        <w:t>nepārtraukta 5G</w:t>
      </w:r>
      <w:r w:rsidR="005D62D1" w:rsidRPr="004A40A8">
        <w:t xml:space="preserve"> tīkla</w:t>
      </w:r>
      <w:r w:rsidRPr="004A40A8">
        <w:t xml:space="preserve"> nodrošināšanai nepieciešam</w:t>
      </w:r>
      <w:r w:rsidR="007274E7">
        <w:t>o</w:t>
      </w:r>
      <w:r w:rsidRPr="004A40A8">
        <w:t xml:space="preserve"> infrastruktūru atbilstoši</w:t>
      </w:r>
      <w:r w:rsidR="00E52829" w:rsidRPr="004A40A8">
        <w:t xml:space="preserve"> </w:t>
      </w:r>
      <w:r w:rsidR="00E52829" w:rsidRPr="004A40A8">
        <w:rPr>
          <w:rFonts w:eastAsia="Times New Roman"/>
          <w:szCs w:val="24"/>
        </w:rPr>
        <w:t>C</w:t>
      </w:r>
      <w:r w:rsidR="00E52829" w:rsidRPr="004A40A8">
        <w:rPr>
          <w:rFonts w:cs="Times New Roman"/>
        </w:rPr>
        <w:t xml:space="preserve">eļvedī 5G publisko mobilo elektronisko sakaru tīklu ieviešanai Latvijā </w:t>
      </w:r>
      <w:r w:rsidRPr="004A40A8">
        <w:rPr>
          <w:rFonts w:eastAsia="Times New Roman"/>
          <w:szCs w:val="24"/>
        </w:rPr>
        <w:t xml:space="preserve">noteiktajam apjomam un kritērijiem. </w:t>
      </w:r>
      <w:r w:rsidR="005D62D1" w:rsidRPr="004A40A8">
        <w:rPr>
          <w:rFonts w:eastAsia="Times New Roman"/>
          <w:szCs w:val="24"/>
        </w:rPr>
        <w:t>Galvenokārt</w:t>
      </w:r>
      <w:r w:rsidRPr="004A40A8">
        <w:rPr>
          <w:rFonts w:eastAsia="Times New Roman"/>
          <w:szCs w:val="24"/>
        </w:rPr>
        <w:t xml:space="preserve"> tas attiecas uz četrām lielākajām Latvijas pilsētām, kā arī pašvaldībām, kuras šķērso </w:t>
      </w:r>
      <w:r w:rsidRPr="004A40A8">
        <w:t xml:space="preserve">galvenie sauszemes transporta ceļi, </w:t>
      </w:r>
      <w:r w:rsidR="005D62D1" w:rsidRPr="004A40A8">
        <w:t>kā arī</w:t>
      </w:r>
      <w:r w:rsidRPr="004A40A8">
        <w:t xml:space="preserve"> Latvijas ostu un lidostu mezglpunkti  (t.i.</w:t>
      </w:r>
      <w:r w:rsidR="005D62D1" w:rsidRPr="004A40A8">
        <w:t>,</w:t>
      </w:r>
      <w:r w:rsidRPr="004A40A8">
        <w:t xml:space="preserve"> </w:t>
      </w:r>
      <w:r w:rsidR="005D62D1" w:rsidRPr="004A40A8">
        <w:t xml:space="preserve">Rīgā, </w:t>
      </w:r>
      <w:r w:rsidRPr="004A40A8">
        <w:t>Daugavpilī, Liepājā, Ventspilī)</w:t>
      </w:r>
      <w:r w:rsidR="003C4B90">
        <w:t>;</w:t>
      </w:r>
    </w:p>
    <w:p w14:paraId="460A51EC" w14:textId="6C2DEC07" w:rsidR="004305C2" w:rsidRPr="004A40A8" w:rsidRDefault="00646374" w:rsidP="00E40F42">
      <w:pPr>
        <w:pStyle w:val="ListParagraph"/>
        <w:numPr>
          <w:ilvl w:val="0"/>
          <w:numId w:val="19"/>
        </w:numPr>
        <w:spacing w:after="0" w:line="240" w:lineRule="auto"/>
        <w:jc w:val="both"/>
        <w:rPr>
          <w:rFonts w:eastAsia="Times New Roman"/>
          <w:szCs w:val="24"/>
        </w:rPr>
      </w:pPr>
      <w:r>
        <w:t>ņ</w:t>
      </w:r>
      <w:r w:rsidR="005D62D1" w:rsidRPr="004A40A8">
        <w:t>emt vērā, ka</w:t>
      </w:r>
      <w:r w:rsidR="004305C2" w:rsidRPr="004A40A8">
        <w:t xml:space="preserve"> </w:t>
      </w:r>
      <w:r w:rsidR="005D62D1" w:rsidRPr="004A40A8">
        <w:t xml:space="preserve">elektronisko </w:t>
      </w:r>
      <w:r w:rsidR="004305C2" w:rsidRPr="004A40A8">
        <w:t>sakaru pieejamība ir būtiska arī vietās, kas tiek būvētas vai pielāgotas civilās aizsardzības mērķiem (t.sk. bumbu patver</w:t>
      </w:r>
      <w:r w:rsidR="005D62D1" w:rsidRPr="004A40A8">
        <w:t>tn</w:t>
      </w:r>
      <w:r w:rsidR="004305C2" w:rsidRPr="004A40A8">
        <w:t>es</w:t>
      </w:r>
      <w:r w:rsidR="007C7E9E" w:rsidRPr="004A40A8">
        <w:rPr>
          <w:rStyle w:val="FootnoteReference"/>
        </w:rPr>
        <w:footnoteReference w:id="22"/>
      </w:r>
      <w:r w:rsidR="004305C2" w:rsidRPr="004A40A8">
        <w:t xml:space="preserve">, bunkuri, pazemes autostāvvietas u.tml.), ņemot vērā, ka  ārkārtas situācijās ir būtiska brīdinājuma paziņojumu saņemšana uz mobilajiem tālruņiem. </w:t>
      </w:r>
    </w:p>
    <w:p w14:paraId="14F5A327" w14:textId="2E0A4479" w:rsidR="004305C2" w:rsidRPr="004A40A8" w:rsidRDefault="004305C2" w:rsidP="00E40F42">
      <w:pPr>
        <w:shd w:val="clear" w:color="auto" w:fill="FFFFFF"/>
        <w:spacing w:after="0" w:line="240" w:lineRule="auto"/>
        <w:ind w:firstLine="720"/>
        <w:jc w:val="both"/>
        <w:rPr>
          <w:rFonts w:cs="Times New Roman"/>
          <w:szCs w:val="24"/>
        </w:rPr>
      </w:pPr>
      <w:r w:rsidRPr="004A40A8">
        <w:rPr>
          <w:rFonts w:cs="Times New Roman"/>
          <w:szCs w:val="24"/>
        </w:rPr>
        <w:t xml:space="preserve">Atkarībā no teritorijas izmantošanas intensitātes un komercdarbības plāniem, elektronisko sakaru komersants var izvēlēties </w:t>
      </w:r>
      <w:r w:rsidR="00EA45F3" w:rsidRPr="004A40A8">
        <w:rPr>
          <w:rFonts w:cs="Times New Roman"/>
          <w:szCs w:val="24"/>
        </w:rPr>
        <w:t>mobilo sakaru</w:t>
      </w:r>
      <w:r w:rsidRPr="004A40A8">
        <w:rPr>
          <w:rFonts w:cs="Times New Roman"/>
          <w:szCs w:val="24"/>
        </w:rPr>
        <w:t xml:space="preserve"> pārklājumu nodrošinā</w:t>
      </w:r>
      <w:r w:rsidR="00EA45F3" w:rsidRPr="004A40A8">
        <w:rPr>
          <w:rFonts w:cs="Times New Roman"/>
          <w:szCs w:val="24"/>
        </w:rPr>
        <w:t xml:space="preserve">t, izmantojot </w:t>
      </w:r>
      <w:r w:rsidR="00A8410D">
        <w:rPr>
          <w:rFonts w:cs="Times New Roman"/>
          <w:szCs w:val="24"/>
        </w:rPr>
        <w:t>mobilo sakaru</w:t>
      </w:r>
      <w:r w:rsidR="003F7F03" w:rsidRPr="004A40A8">
        <w:rPr>
          <w:rFonts w:cs="Times New Roman"/>
          <w:szCs w:val="24"/>
        </w:rPr>
        <w:t xml:space="preserve"> bāzes stacijas vai  tuvas darbības bezvadu piekļuves punktus (“mazās šūnas”). </w:t>
      </w:r>
      <w:r w:rsidRPr="004A40A8">
        <w:rPr>
          <w:rFonts w:cs="Times New Roman"/>
          <w:szCs w:val="24"/>
        </w:rPr>
        <w:t>No praktiskās viedokļa tuvas darbības piekļuves punktus būtu lietderīgi izmantot vietās, kurās ir paredzam</w:t>
      </w:r>
      <w:r w:rsidR="003F7F03" w:rsidRPr="004A40A8">
        <w:rPr>
          <w:rFonts w:cs="Times New Roman"/>
          <w:szCs w:val="24"/>
        </w:rPr>
        <w:t>a liela apjoma</w:t>
      </w:r>
      <w:r w:rsidRPr="004A40A8">
        <w:rPr>
          <w:rFonts w:cs="Times New Roman"/>
          <w:szCs w:val="24"/>
        </w:rPr>
        <w:t xml:space="preserve"> datu p</w:t>
      </w:r>
      <w:r w:rsidR="003F7F03" w:rsidRPr="004A40A8">
        <w:rPr>
          <w:rFonts w:cs="Times New Roman"/>
          <w:szCs w:val="24"/>
        </w:rPr>
        <w:t>lūsma</w:t>
      </w:r>
      <w:r w:rsidRPr="004A40A8">
        <w:rPr>
          <w:rFonts w:cs="Times New Roman"/>
          <w:szCs w:val="24"/>
        </w:rPr>
        <w:t xml:space="preserve">, piemēram, tirdzniecības vietās, loģistikas un transporta centros (stacijās, ostās u.tml.), parkos. Savukārt pārējās vietās 5G pārklājumu ir lietderīgi nodrošināt, izvietojot raidošo infrastruktūru, kas ir izvietota uz esošajiem vai </w:t>
      </w:r>
      <w:r w:rsidRPr="004A40A8">
        <w:rPr>
          <w:rFonts w:cs="Times New Roman"/>
          <w:noProof/>
          <w:szCs w:val="24"/>
        </w:rPr>
        <w:t>jaunbūvējamiem</w:t>
      </w:r>
      <w:r w:rsidRPr="004A40A8">
        <w:rPr>
          <w:rFonts w:cs="Times New Roman"/>
          <w:szCs w:val="24"/>
        </w:rPr>
        <w:t xml:space="preserve"> infrastruktūras objektiem. </w:t>
      </w:r>
    </w:p>
    <w:p w14:paraId="2E80CF88" w14:textId="6C9BC411" w:rsidR="004305C2" w:rsidRPr="004A40A8" w:rsidRDefault="004305C2" w:rsidP="00E40F42">
      <w:pPr>
        <w:shd w:val="clear" w:color="auto" w:fill="FFFFFF"/>
        <w:spacing w:after="0" w:line="240" w:lineRule="auto"/>
        <w:ind w:firstLine="720"/>
        <w:jc w:val="both"/>
        <w:rPr>
          <w:rFonts w:cs="Times New Roman"/>
          <w:szCs w:val="24"/>
        </w:rPr>
      </w:pPr>
      <w:r w:rsidRPr="004A40A8">
        <w:rPr>
          <w:rFonts w:cs="Times New Roman"/>
          <w:szCs w:val="24"/>
        </w:rPr>
        <w:t>Attiecībā uz lineār</w:t>
      </w:r>
      <w:r w:rsidR="003F7F03" w:rsidRPr="004A40A8">
        <w:rPr>
          <w:rFonts w:cs="Times New Roman"/>
          <w:szCs w:val="24"/>
        </w:rPr>
        <w:t>aj</w:t>
      </w:r>
      <w:r w:rsidRPr="004A40A8">
        <w:rPr>
          <w:rFonts w:cs="Times New Roman"/>
          <w:szCs w:val="24"/>
        </w:rPr>
        <w:t>iem objekti</w:t>
      </w:r>
      <w:r w:rsidR="003F7F03" w:rsidRPr="004A40A8">
        <w:rPr>
          <w:rFonts w:cs="Times New Roman"/>
          <w:szCs w:val="24"/>
        </w:rPr>
        <w:t>em</w:t>
      </w:r>
      <w:r w:rsidRPr="004A40A8">
        <w:rPr>
          <w:rFonts w:cs="Times New Roman"/>
          <w:szCs w:val="24"/>
        </w:rPr>
        <w:t xml:space="preserve"> (autoceļš vai dzelzceļš) homogēna pārklājuma nodrošināšana</w:t>
      </w:r>
      <w:r w:rsidR="006B0330" w:rsidRPr="004A40A8">
        <w:rPr>
          <w:rFonts w:cs="Times New Roman"/>
          <w:szCs w:val="24"/>
        </w:rPr>
        <w:t>i</w:t>
      </w:r>
      <w:r w:rsidRPr="004A40A8">
        <w:rPr>
          <w:rFonts w:cs="Times New Roman"/>
          <w:szCs w:val="24"/>
        </w:rPr>
        <w:t xml:space="preserve"> apdzīvotās vietās</w:t>
      </w:r>
      <w:r w:rsidR="006B0330" w:rsidRPr="004A40A8">
        <w:rPr>
          <w:rFonts w:cs="Times New Roman"/>
          <w:szCs w:val="24"/>
        </w:rPr>
        <w:t xml:space="preserve"> laukos</w:t>
      </w:r>
      <w:r w:rsidRPr="004A40A8">
        <w:rPr>
          <w:rFonts w:cs="Times New Roman"/>
          <w:szCs w:val="24"/>
        </w:rPr>
        <w:t xml:space="preserve"> būtu nepieciešams paredzēt vietu  publisko elektronisko sakaru</w:t>
      </w:r>
      <w:r w:rsidRPr="004A40A8">
        <w:t xml:space="preserve"> tīkla objekta, proti, </w:t>
      </w:r>
      <w:r w:rsidR="006B0330" w:rsidRPr="004A40A8">
        <w:t>vismaz</w:t>
      </w:r>
      <w:r w:rsidRPr="004A40A8">
        <w:t xml:space="preserve"> 36 m augstas inženierbūves (torņa/masta) un </w:t>
      </w:r>
      <w:r w:rsidR="006B0330" w:rsidRPr="004A40A8">
        <w:t>atbalstošās</w:t>
      </w:r>
      <w:r w:rsidRPr="004A40A8">
        <w:t xml:space="preserve"> infrastruktūras inženierbūvju būvniecībai ar kopējo platību līdz 100 </w:t>
      </w:r>
      <w:r w:rsidR="006B0330" w:rsidRPr="004A40A8">
        <w:t>m</w:t>
      </w:r>
      <w:r w:rsidR="006B0330" w:rsidRPr="004A40A8">
        <w:rPr>
          <w:vertAlign w:val="superscript"/>
        </w:rPr>
        <w:t>2</w:t>
      </w:r>
      <w:r w:rsidRPr="004A40A8">
        <w:t xml:space="preserve"> ik p</w:t>
      </w:r>
      <w:r w:rsidR="006B0330" w:rsidRPr="004A40A8">
        <w:t>ēc</w:t>
      </w:r>
      <w:r w:rsidRPr="004A40A8">
        <w:t xml:space="preserve"> 1</w:t>
      </w:r>
      <w:r w:rsidR="006B0330" w:rsidRPr="004A40A8">
        <w:t>,</w:t>
      </w:r>
      <w:r w:rsidRPr="004A40A8">
        <w:t>5</w:t>
      </w:r>
      <w:r w:rsidR="006B0330" w:rsidRPr="004A40A8">
        <w:t> </w:t>
      </w:r>
      <w:r w:rsidRPr="004A40A8">
        <w:t xml:space="preserve">km. </w:t>
      </w:r>
    </w:p>
    <w:p w14:paraId="1EA66F5F" w14:textId="3F95C60E" w:rsidR="004305C2" w:rsidRDefault="006B0330" w:rsidP="00E40F42">
      <w:pPr>
        <w:shd w:val="clear" w:color="auto" w:fill="FFFFFF"/>
        <w:spacing w:after="0" w:line="240" w:lineRule="auto"/>
        <w:ind w:firstLine="720"/>
        <w:jc w:val="both"/>
        <w:rPr>
          <w:rFonts w:cs="Times New Roman"/>
          <w:szCs w:val="24"/>
        </w:rPr>
      </w:pPr>
      <w:r w:rsidRPr="004A40A8">
        <w:rPr>
          <w:rFonts w:cs="Times New Roman"/>
          <w:szCs w:val="24"/>
        </w:rPr>
        <w:lastRenderedPageBreak/>
        <w:t>Ņemot</w:t>
      </w:r>
      <w:r w:rsidR="004305C2" w:rsidRPr="004A40A8">
        <w:rPr>
          <w:rFonts w:cs="Times New Roman"/>
          <w:szCs w:val="24"/>
        </w:rPr>
        <w:t xml:space="preserve"> radioviļņ</w:t>
      </w:r>
      <w:r w:rsidRPr="004A40A8">
        <w:rPr>
          <w:rFonts w:cs="Times New Roman"/>
          <w:szCs w:val="24"/>
        </w:rPr>
        <w:t>u izplatīšanās attālumu,</w:t>
      </w:r>
      <w:r w:rsidR="004305C2" w:rsidRPr="004A40A8">
        <w:rPr>
          <w:rFonts w:cs="Times New Roman"/>
          <w:szCs w:val="24"/>
        </w:rPr>
        <w:t xml:space="preserve"> </w:t>
      </w:r>
      <w:r w:rsidR="004305C2" w:rsidRPr="004A40A8">
        <w:t>teritorijas plānošanas dokumentos mobil</w:t>
      </w:r>
      <w:r w:rsidRPr="004A40A8">
        <w:t>o sakaru</w:t>
      </w:r>
      <w:r w:rsidR="004305C2" w:rsidRPr="004A40A8">
        <w:t xml:space="preserve"> infrastruktūras izbūv</w:t>
      </w:r>
      <w:r w:rsidR="00A12CA9">
        <w:t>i</w:t>
      </w:r>
      <w:r w:rsidRPr="004A40A8">
        <w:t xml:space="preserve"> nepieciešams </w:t>
      </w:r>
      <w:r w:rsidR="004305C2" w:rsidRPr="004A40A8">
        <w:t xml:space="preserve">paredzēt gan teritorijā, kurā nepieciešama nepārtraukta 5G pārklājuma nodrošināšana, gan šai teritorijā piegulošā zonējuma teritorijā, piemēram, </w:t>
      </w:r>
      <w:r w:rsidR="004305C2" w:rsidRPr="004A40A8">
        <w:rPr>
          <w:rFonts w:cs="Times New Roman"/>
          <w:szCs w:val="24"/>
        </w:rPr>
        <w:t>attiecīgā objekta (autoceļa vai dzelzceļa) tuvu</w:t>
      </w:r>
      <w:r w:rsidR="005905B7" w:rsidRPr="004A40A8">
        <w:rPr>
          <w:rFonts w:cs="Times New Roman"/>
          <w:szCs w:val="24"/>
        </w:rPr>
        <w:t>m</w:t>
      </w:r>
      <w:r w:rsidR="004305C2" w:rsidRPr="004A40A8">
        <w:rPr>
          <w:rFonts w:cs="Times New Roman"/>
          <w:szCs w:val="24"/>
        </w:rPr>
        <w:t>ā.</w:t>
      </w:r>
    </w:p>
    <w:p w14:paraId="1A179685" w14:textId="24E1E38F" w:rsidR="00E038E2" w:rsidRPr="00CE39FA" w:rsidRDefault="00E038E2" w:rsidP="00E940D9">
      <w:pPr>
        <w:spacing w:after="0" w:line="240" w:lineRule="auto"/>
        <w:ind w:firstLine="720"/>
        <w:jc w:val="both"/>
      </w:pPr>
      <w:r>
        <w:t>Papildus atzīmējams, ka b</w:t>
      </w:r>
      <w:r w:rsidRPr="00CE39FA">
        <w:t>āzes stacijas ierīkošanai izstrādā</w:t>
      </w:r>
      <w:r w:rsidR="00B95DDC">
        <w:t>jot</w:t>
      </w:r>
      <w:r w:rsidRPr="00CE39FA">
        <w:t xml:space="preserve"> attiecīg</w:t>
      </w:r>
      <w:r w:rsidR="00B95DDC">
        <w:t>o</w:t>
      </w:r>
      <w:r w:rsidRPr="00CE39FA">
        <w:t xml:space="preserve"> infrastruktūras objekta projektēšanas dokumentācij</w:t>
      </w:r>
      <w:r w:rsidR="00B95DDC">
        <w:t>u</w:t>
      </w:r>
      <w:r w:rsidRPr="00CE39FA">
        <w:t>, tajā iekļauj būtiskākos radioiekārt</w:t>
      </w:r>
      <w:r>
        <w:t>u</w:t>
      </w:r>
      <w:r w:rsidRPr="00CE39FA">
        <w:t xml:space="preserve"> mehāniskos un radiotehniskos parametrus</w:t>
      </w:r>
      <w:r w:rsidR="00B95DDC">
        <w:t>.</w:t>
      </w:r>
      <w:r w:rsidRPr="00CE39FA">
        <w:t xml:space="preserve"> Katrs šāds infrastruktūras objekts tiek individuāli plānots, ņemot vērā konkrētās ģeogrāfiskās vietas raksturlie</w:t>
      </w:r>
      <w:r>
        <w:t>l</w:t>
      </w:r>
      <w:r w:rsidRPr="00CE39FA">
        <w:t>umus, normatīvo regulējumu, ēkas tehniskos raksturlie</w:t>
      </w:r>
      <w:r>
        <w:t>l</w:t>
      </w:r>
      <w:r w:rsidRPr="00CE39FA">
        <w:t xml:space="preserve">umus, operatora nodrošinātās tehnoloģijas un </w:t>
      </w:r>
      <w:r>
        <w:t xml:space="preserve">plānotos </w:t>
      </w:r>
      <w:r w:rsidRPr="00CE39FA">
        <w:t xml:space="preserve">pakalpojumus. </w:t>
      </w:r>
      <w:r>
        <w:t>Tālāk ir norādīti t</w:t>
      </w:r>
      <w:r w:rsidRPr="00CE39FA">
        <w:t>ipisk</w:t>
      </w:r>
      <w:r>
        <w:t>āk</w:t>
      </w:r>
      <w:r w:rsidRPr="00CE39FA">
        <w:t xml:space="preserve">ie pilsētvidē izvietotas mobilo sakaru bāzes stacijas parametri: </w:t>
      </w:r>
      <w:r w:rsidRPr="00CE39FA">
        <w:br/>
        <w:t xml:space="preserve">- </w:t>
      </w:r>
      <w:r w:rsidR="00E940D9">
        <w:t>e</w:t>
      </w:r>
      <w:r w:rsidRPr="00CE39FA">
        <w:t xml:space="preserve">lektroapgāde – atsevišķs elektroapgādes </w:t>
      </w:r>
      <w:proofErr w:type="spellStart"/>
      <w:r w:rsidRPr="00CE39FA">
        <w:t>pieslēgums</w:t>
      </w:r>
      <w:proofErr w:type="spellEnd"/>
      <w:r w:rsidRPr="00CE39FA">
        <w:t xml:space="preserve"> (trīs fāzes) ar jaudu 16kW (25A)</w:t>
      </w:r>
      <w:r w:rsidR="00E940D9">
        <w:t>;</w:t>
      </w:r>
      <w:r w:rsidRPr="00CE39FA">
        <w:t xml:space="preserve"> </w:t>
      </w:r>
      <w:r w:rsidRPr="00CE39FA">
        <w:br/>
        <w:t>-  </w:t>
      </w:r>
      <w:r w:rsidR="00E940D9">
        <w:t>s</w:t>
      </w:r>
      <w:r w:rsidRPr="00CE39FA">
        <w:t>vars - antenu un antenu balsta konstrukciju kopējais svars ~400</w:t>
      </w:r>
      <w:r>
        <w:t xml:space="preserve"> </w:t>
      </w:r>
      <w:r w:rsidRPr="00CE39FA">
        <w:t>kg. Tas var būt mazāks, ja nav nepieciešams nodrošināt papildu konstrukcijas atbalstu, vai arī lielāks, ja nepieciešams veidot mastu (atkarībā no masta augstuma, balsta konstrukcijām, atsaitēm u.c.)</w:t>
      </w:r>
      <w:r w:rsidR="00E940D9">
        <w:t>;</w:t>
      </w:r>
      <w:r w:rsidRPr="00CE39FA">
        <w:t xml:space="preserve"> </w:t>
      </w:r>
      <w:r w:rsidRPr="00CE39FA">
        <w:br/>
        <w:t xml:space="preserve">-   </w:t>
      </w:r>
      <w:r w:rsidR="00E940D9">
        <w:t>p</w:t>
      </w:r>
      <w:r w:rsidRPr="00CE39FA">
        <w:t>latība – izvietojot bāzes staciju uz plakanā jumta, visbiežāk nepieciešams līdz 10m</w:t>
      </w:r>
      <w:r w:rsidRPr="00E038E2">
        <w:rPr>
          <w:vertAlign w:val="superscript"/>
        </w:rPr>
        <w:t>2</w:t>
      </w:r>
      <w:r w:rsidRPr="00CE39FA">
        <w:t xml:space="preserve"> platība, izvietojot bāzes staciju uz jumta, radioantenas izvietošanai uz jumta nepieciešams apmēram 4</w:t>
      </w:r>
      <w:r>
        <w:t xml:space="preserve"> </w:t>
      </w:r>
      <w:r w:rsidRPr="00CE39FA">
        <w:t>m</w:t>
      </w:r>
      <w:r w:rsidRPr="003B6A66">
        <w:rPr>
          <w:vertAlign w:val="superscript"/>
        </w:rPr>
        <w:t>2</w:t>
      </w:r>
      <w:r w:rsidRPr="00CE39FA">
        <w:t>, pārējai infrastruktūrai nepieciešama papildu vieta (piemēram, ēkas bēniņu stāvā) ~</w:t>
      </w:r>
      <w:r>
        <w:t xml:space="preserve"> </w:t>
      </w:r>
      <w:r w:rsidRPr="00CE39FA">
        <w:t>6m</w:t>
      </w:r>
      <w:r w:rsidRPr="003B6A66">
        <w:rPr>
          <w:vertAlign w:val="superscript"/>
        </w:rPr>
        <w:t>²</w:t>
      </w:r>
      <w:r w:rsidR="00E940D9">
        <w:t>;</w:t>
      </w:r>
      <w:r w:rsidRPr="00CE39FA">
        <w:t xml:space="preserve"> </w:t>
      </w:r>
      <w:r w:rsidRPr="00CE39FA">
        <w:br/>
        <w:t xml:space="preserve">- </w:t>
      </w:r>
      <w:r w:rsidR="00E940D9">
        <w:t>o</w:t>
      </w:r>
      <w:r w:rsidRPr="00CE39FA">
        <w:t>ptiskā</w:t>
      </w:r>
      <w:r>
        <w:t xml:space="preserve"> tīkla </w:t>
      </w:r>
      <w:r>
        <w:rPr>
          <w:noProof/>
        </w:rPr>
        <w:t>pieslēgums</w:t>
      </w:r>
      <w:r w:rsidRPr="00CE39FA">
        <w:t xml:space="preserve"> – </w:t>
      </w:r>
      <w:r w:rsidR="00E940D9">
        <w:t xml:space="preserve">ar datu pārraides ātrumu </w:t>
      </w:r>
      <w:r w:rsidRPr="00CE39FA">
        <w:t>vismaz 1 G</w:t>
      </w:r>
      <w:r>
        <w:t>bit/s</w:t>
      </w:r>
      <w:r w:rsidR="00E940D9">
        <w:t>,</w:t>
      </w:r>
      <w:r w:rsidRPr="00CE39FA">
        <w:t xml:space="preserve"> </w:t>
      </w:r>
      <w:r w:rsidRPr="00CE39FA">
        <w:rPr>
          <w:noProof/>
        </w:rPr>
        <w:t xml:space="preserve">Ethernet </w:t>
      </w:r>
      <w:r w:rsidRPr="00CE39FA">
        <w:t xml:space="preserve">savienojums. </w:t>
      </w:r>
    </w:p>
    <w:p w14:paraId="2824D927" w14:textId="77777777" w:rsidR="003C4B90" w:rsidRPr="004A40A8" w:rsidRDefault="003C4B90" w:rsidP="00E40F42">
      <w:pPr>
        <w:shd w:val="clear" w:color="auto" w:fill="FFFFFF"/>
        <w:spacing w:after="0" w:line="240" w:lineRule="auto"/>
        <w:ind w:firstLine="720"/>
        <w:jc w:val="both"/>
        <w:rPr>
          <w:rFonts w:cs="Times New Roman"/>
          <w:szCs w:val="24"/>
          <w:highlight w:val="darkYellow"/>
        </w:rPr>
      </w:pPr>
    </w:p>
    <w:p w14:paraId="3806D3B3" w14:textId="3A6B01B8" w:rsidR="004305C2" w:rsidRPr="004A40A8" w:rsidRDefault="004305C2" w:rsidP="00E40F42">
      <w:pPr>
        <w:pStyle w:val="Heading2"/>
        <w:numPr>
          <w:ilvl w:val="1"/>
          <w:numId w:val="25"/>
        </w:numPr>
        <w:spacing w:before="0" w:after="0" w:line="240" w:lineRule="auto"/>
        <w:rPr>
          <w:rFonts w:ascii="Times New Roman" w:hAnsi="Times New Roman" w:cs="Times New Roman"/>
          <w:b/>
          <w:bCs/>
          <w:color w:val="auto"/>
          <w:sz w:val="24"/>
          <w:szCs w:val="24"/>
        </w:rPr>
      </w:pPr>
      <w:bookmarkStart w:id="20" w:name="_Toc215730742"/>
      <w:r w:rsidRPr="004A40A8">
        <w:rPr>
          <w:rFonts w:ascii="Times New Roman" w:hAnsi="Times New Roman" w:cs="Times New Roman"/>
          <w:b/>
          <w:bCs/>
          <w:color w:val="auto"/>
          <w:sz w:val="24"/>
          <w:szCs w:val="24"/>
        </w:rPr>
        <w:t>Nepamatotu administratīvo šķēršļu novēršana platjoslas infrastruktūras attīstībai</w:t>
      </w:r>
      <w:bookmarkEnd w:id="20"/>
    </w:p>
    <w:p w14:paraId="78F44DDE" w14:textId="783A9074" w:rsidR="004305C2" w:rsidRPr="004A40A8" w:rsidRDefault="00A616F0" w:rsidP="00E40F42">
      <w:pPr>
        <w:shd w:val="clear" w:color="auto" w:fill="FFFFFF"/>
        <w:spacing w:after="0" w:line="240" w:lineRule="auto"/>
        <w:ind w:firstLine="720"/>
        <w:jc w:val="both"/>
        <w:rPr>
          <w:rFonts w:cs="Times New Roman"/>
          <w:szCs w:val="24"/>
        </w:rPr>
      </w:pPr>
      <w:r w:rsidRPr="004A40A8">
        <w:rPr>
          <w:rFonts w:cs="Times New Roman"/>
          <w:szCs w:val="24"/>
        </w:rPr>
        <w:t>S</w:t>
      </w:r>
      <w:r w:rsidR="004305C2" w:rsidRPr="004A40A8">
        <w:rPr>
          <w:rFonts w:cs="Times New Roman"/>
          <w:szCs w:val="24"/>
        </w:rPr>
        <w:t>akaru nozares pārstāvji nor</w:t>
      </w:r>
      <w:r w:rsidRPr="004A40A8">
        <w:rPr>
          <w:rFonts w:cs="Times New Roman"/>
          <w:szCs w:val="24"/>
        </w:rPr>
        <w:t>ādījuši</w:t>
      </w:r>
      <w:r w:rsidR="004305C2" w:rsidRPr="004A40A8">
        <w:rPr>
          <w:rFonts w:cs="Times New Roman"/>
          <w:szCs w:val="24"/>
        </w:rPr>
        <w:t>, ka atsevišķās pašvaldībās pastāv prakse mobilo sakaru operatoriem izvirzīt papildu prasības sakaru infrastruktūras izvēršanai – proti ir noteikts nepamato</w:t>
      </w:r>
      <w:r w:rsidRPr="004A40A8">
        <w:rPr>
          <w:rFonts w:cs="Times New Roman"/>
          <w:szCs w:val="24"/>
        </w:rPr>
        <w:t>t</w:t>
      </w:r>
      <w:r w:rsidR="004305C2" w:rsidRPr="004A40A8">
        <w:rPr>
          <w:rFonts w:cs="Times New Roman"/>
          <w:szCs w:val="24"/>
        </w:rPr>
        <w:t xml:space="preserve">s apbūves augstuma ierobežojums vai arī noteikts minimālais </w:t>
      </w:r>
      <w:r w:rsidRPr="004A40A8">
        <w:rPr>
          <w:rFonts w:cs="Times New Roman"/>
          <w:szCs w:val="24"/>
        </w:rPr>
        <w:t>apbūvējamās</w:t>
      </w:r>
      <w:r w:rsidR="004305C2" w:rsidRPr="004A40A8">
        <w:rPr>
          <w:rFonts w:cs="Times New Roman"/>
          <w:szCs w:val="24"/>
        </w:rPr>
        <w:t xml:space="preserve"> zemes vienības lielums, kas ir vairākkārt lielāks nekā nepieciešams mobilo sakaru torņa vai masta nodrošināšanai. Šādi vispārīgi ierobežojumi kavē mobilo elektronisko sakaru tīklu izvēršanu. Viena </w:t>
      </w:r>
      <w:r w:rsidRPr="004A40A8">
        <w:rPr>
          <w:rFonts w:cs="Times New Roman"/>
          <w:szCs w:val="24"/>
        </w:rPr>
        <w:t>mobilo</w:t>
      </w:r>
      <w:r w:rsidR="004305C2" w:rsidRPr="004A40A8">
        <w:rPr>
          <w:rFonts w:cs="Times New Roman"/>
          <w:szCs w:val="24"/>
        </w:rPr>
        <w:t xml:space="preserve"> torņa izbūvei nav nepieciešams vairāk par 600</w:t>
      </w:r>
      <w:r w:rsidR="00BF75EE" w:rsidRPr="004A40A8">
        <w:rPr>
          <w:rFonts w:cs="Times New Roman"/>
          <w:szCs w:val="24"/>
        </w:rPr>
        <w:t xml:space="preserve"> </w:t>
      </w:r>
      <w:r w:rsidR="004305C2" w:rsidRPr="004A40A8">
        <w:rPr>
          <w:rFonts w:cs="Times New Roman"/>
          <w:szCs w:val="24"/>
        </w:rPr>
        <w:t>m</w:t>
      </w:r>
      <w:r w:rsidR="004305C2" w:rsidRPr="00CC09DD">
        <w:rPr>
          <w:rFonts w:cs="Times New Roman"/>
          <w:szCs w:val="24"/>
          <w:vertAlign w:val="superscript"/>
        </w:rPr>
        <w:t>2</w:t>
      </w:r>
      <w:r w:rsidR="004305C2" w:rsidRPr="004A40A8">
        <w:rPr>
          <w:rFonts w:cs="Times New Roman"/>
          <w:szCs w:val="24"/>
        </w:rPr>
        <w:t xml:space="preserve"> lielas zemes vienības, tādēļ nav lietderīgi mobilo sakaru operatoram noteikt iegādāties lielāka apjoma zemes vienību (parasti </w:t>
      </w:r>
      <w:r w:rsidRPr="004A40A8">
        <w:rPr>
          <w:rFonts w:cs="Times New Roman"/>
          <w:szCs w:val="24"/>
        </w:rPr>
        <w:t xml:space="preserve">tiek </w:t>
      </w:r>
      <w:r w:rsidR="004305C2" w:rsidRPr="004A40A8">
        <w:rPr>
          <w:rFonts w:cs="Times New Roman"/>
          <w:szCs w:val="24"/>
        </w:rPr>
        <w:t>noteikts 1200</w:t>
      </w:r>
      <w:r w:rsidR="00BF75EE" w:rsidRPr="004A40A8">
        <w:rPr>
          <w:rFonts w:cs="Times New Roman"/>
          <w:szCs w:val="24"/>
        </w:rPr>
        <w:t xml:space="preserve"> </w:t>
      </w:r>
      <w:r w:rsidR="004305C2" w:rsidRPr="004A40A8">
        <w:rPr>
          <w:rFonts w:cs="Times New Roman"/>
          <w:szCs w:val="24"/>
        </w:rPr>
        <w:t>m</w:t>
      </w:r>
      <w:r w:rsidR="004305C2" w:rsidRPr="00CC09DD">
        <w:rPr>
          <w:rFonts w:cs="Times New Roman"/>
          <w:szCs w:val="24"/>
          <w:vertAlign w:val="superscript"/>
        </w:rPr>
        <w:t>2</w:t>
      </w:r>
      <w:r w:rsidR="004305C2" w:rsidRPr="004A40A8">
        <w:rPr>
          <w:rFonts w:cs="Times New Roman"/>
          <w:szCs w:val="24"/>
        </w:rPr>
        <w:t>), kas ir nelietderīga un neracionāla izmantošana. Tāpat atsevišķās pašvaldībās noteiktie apbūves zonējuma augstuma ierobežojumi nebūtu attiecināmi uz inženiertehniskās apgādes tīkliem un to objektiem (tajā skaitā, mobilo sakaru</w:t>
      </w:r>
      <w:r w:rsidRPr="004A40A8">
        <w:rPr>
          <w:rFonts w:cs="Times New Roman"/>
          <w:szCs w:val="24"/>
        </w:rPr>
        <w:t xml:space="preserve"> torņiem</w:t>
      </w:r>
      <w:r w:rsidR="004305C2" w:rsidRPr="004A40A8">
        <w:rPr>
          <w:rFonts w:cs="Times New Roman"/>
          <w:szCs w:val="24"/>
        </w:rPr>
        <w:t xml:space="preserve"> bāzes stacij</w:t>
      </w:r>
      <w:r w:rsidRPr="004A40A8">
        <w:rPr>
          <w:rFonts w:cs="Times New Roman"/>
          <w:szCs w:val="24"/>
        </w:rPr>
        <w:t>u izvietošanai</w:t>
      </w:r>
      <w:r w:rsidR="004305C2" w:rsidRPr="004A40A8">
        <w:rPr>
          <w:rFonts w:cs="Times New Roman"/>
          <w:szCs w:val="24"/>
        </w:rPr>
        <w:t xml:space="preserve">). </w:t>
      </w:r>
    </w:p>
    <w:p w14:paraId="4F5C47AA" w14:textId="47E67387" w:rsidR="004305C2" w:rsidRPr="004A40A8" w:rsidRDefault="004305C2" w:rsidP="00E40F42">
      <w:pPr>
        <w:shd w:val="clear" w:color="auto" w:fill="FFFFFF"/>
        <w:spacing w:after="0" w:line="240" w:lineRule="auto"/>
        <w:jc w:val="both"/>
        <w:rPr>
          <w:rFonts w:cs="Times New Roman"/>
          <w:b/>
          <w:bCs/>
          <w:szCs w:val="24"/>
        </w:rPr>
      </w:pPr>
      <w:r w:rsidRPr="004A40A8">
        <w:rPr>
          <w:rFonts w:cs="Times New Roman"/>
          <w:szCs w:val="24"/>
        </w:rPr>
        <w:t xml:space="preserve"> </w:t>
      </w:r>
      <w:r w:rsidRPr="004A40A8">
        <w:rPr>
          <w:rFonts w:cs="Times New Roman"/>
          <w:b/>
          <w:bCs/>
          <w:szCs w:val="24"/>
        </w:rPr>
        <w:t>Ieteikums:</w:t>
      </w:r>
      <w:r w:rsidRPr="004A40A8">
        <w:rPr>
          <w:rFonts w:cs="Times New Roman"/>
          <w:szCs w:val="24"/>
        </w:rPr>
        <w:t xml:space="preserve"> Pašvaldības teritorijas attīstības dokumentos</w:t>
      </w:r>
      <w:r w:rsidR="005905B7" w:rsidRPr="004A40A8">
        <w:rPr>
          <w:rFonts w:cs="Times New Roman"/>
          <w:szCs w:val="24"/>
        </w:rPr>
        <w:t xml:space="preserve"> nepieciešams</w:t>
      </w:r>
      <w:r w:rsidRPr="004A40A8">
        <w:rPr>
          <w:rFonts w:cs="Times New Roman"/>
          <w:szCs w:val="24"/>
        </w:rPr>
        <w:t xml:space="preserve"> noteikt</w:t>
      </w:r>
      <w:r w:rsidR="005905B7" w:rsidRPr="004A40A8">
        <w:rPr>
          <w:rFonts w:cs="Times New Roman"/>
          <w:szCs w:val="24"/>
        </w:rPr>
        <w:t>,</w:t>
      </w:r>
      <w:r w:rsidRPr="004A40A8">
        <w:rPr>
          <w:rFonts w:cs="Times New Roman"/>
          <w:szCs w:val="24"/>
        </w:rPr>
        <w:t xml:space="preserve"> ka:</w:t>
      </w:r>
    </w:p>
    <w:p w14:paraId="22363514" w14:textId="0BA8923F" w:rsidR="004305C2" w:rsidRPr="004A40A8" w:rsidRDefault="004305C2" w:rsidP="00E40F42">
      <w:pPr>
        <w:pStyle w:val="ListParagraph"/>
        <w:numPr>
          <w:ilvl w:val="0"/>
          <w:numId w:val="20"/>
        </w:numPr>
        <w:shd w:val="clear" w:color="auto" w:fill="FFFFFF"/>
        <w:spacing w:after="0" w:line="240" w:lineRule="auto"/>
        <w:jc w:val="both"/>
        <w:rPr>
          <w:rFonts w:cs="Times New Roman"/>
          <w:szCs w:val="24"/>
        </w:rPr>
      </w:pPr>
      <w:r w:rsidRPr="004A40A8">
        <w:rPr>
          <w:rFonts w:cs="Times New Roman"/>
          <w:szCs w:val="24"/>
        </w:rPr>
        <w:t>mobil</w:t>
      </w:r>
      <w:r w:rsidR="00826069" w:rsidRPr="004A40A8">
        <w:rPr>
          <w:rFonts w:cs="Times New Roman"/>
          <w:szCs w:val="24"/>
        </w:rPr>
        <w:t>o</w:t>
      </w:r>
      <w:r w:rsidRPr="004A40A8">
        <w:rPr>
          <w:rFonts w:cs="Times New Roman"/>
          <w:szCs w:val="24"/>
        </w:rPr>
        <w:t xml:space="preserve"> </w:t>
      </w:r>
      <w:r w:rsidR="00A616F0" w:rsidRPr="004A40A8">
        <w:rPr>
          <w:rFonts w:cs="Times New Roman"/>
          <w:szCs w:val="24"/>
        </w:rPr>
        <w:t>elektronisko sakaru</w:t>
      </w:r>
      <w:r w:rsidRPr="004A40A8">
        <w:rPr>
          <w:rFonts w:cs="Times New Roman"/>
          <w:szCs w:val="24"/>
        </w:rPr>
        <w:t xml:space="preserve"> pakalpojumu nodrošināšanai jebkurā pašvaldības teritorijas plānojumā noteiktajā funkcionālajā zonā var ierīkot fiksēto un mobilo sakaru tīklus un objektus, iespēju robežās elektroapgādes tīklu un piebraucamo autoceļu tuvumā</w:t>
      </w:r>
      <w:r w:rsidR="00E40F42">
        <w:rPr>
          <w:rFonts w:cs="Times New Roman"/>
          <w:szCs w:val="24"/>
        </w:rPr>
        <w:t>;</w:t>
      </w:r>
    </w:p>
    <w:p w14:paraId="149EFE76" w14:textId="673DBB5F" w:rsidR="004305C2" w:rsidRPr="004A40A8" w:rsidRDefault="004305C2" w:rsidP="00E40F42">
      <w:pPr>
        <w:pStyle w:val="ListParagraph"/>
        <w:numPr>
          <w:ilvl w:val="0"/>
          <w:numId w:val="20"/>
        </w:numPr>
        <w:shd w:val="clear" w:color="auto" w:fill="FFFFFF"/>
        <w:spacing w:after="0" w:line="240" w:lineRule="auto"/>
        <w:jc w:val="both"/>
        <w:rPr>
          <w:rFonts w:cs="Times New Roman"/>
          <w:szCs w:val="24"/>
        </w:rPr>
      </w:pPr>
      <w:r w:rsidRPr="004A40A8">
        <w:rPr>
          <w:rFonts w:cs="Times New Roman"/>
          <w:szCs w:val="24"/>
        </w:rPr>
        <w:t xml:space="preserve">pašvaldības teritorijās, kur atļautā izmantošana ir inženiertehniskās apgādes tīkli un to objekti (tajā skaitā </w:t>
      </w:r>
      <w:r w:rsidR="00A616F0" w:rsidRPr="004A40A8">
        <w:rPr>
          <w:rFonts w:cs="Times New Roman"/>
          <w:szCs w:val="24"/>
        </w:rPr>
        <w:t xml:space="preserve">elektronisko </w:t>
      </w:r>
      <w:r w:rsidRPr="004A40A8">
        <w:rPr>
          <w:rFonts w:cs="Times New Roman"/>
          <w:szCs w:val="24"/>
        </w:rPr>
        <w:t xml:space="preserve">sakaru tīkli, torņi un masti), </w:t>
      </w:r>
      <w:r w:rsidRPr="004A40A8">
        <w:rPr>
          <w:rFonts w:cs="Times New Roman"/>
          <w:noProof/>
          <w:szCs w:val="24"/>
        </w:rPr>
        <w:t>jaunveidojamā</w:t>
      </w:r>
      <w:r w:rsidRPr="004A40A8">
        <w:rPr>
          <w:rFonts w:cs="Times New Roman"/>
          <w:szCs w:val="24"/>
        </w:rPr>
        <w:t xml:space="preserve"> zemesgabala platība, kas nepieciešama šīs infrastruktūras nodrošināšanai, ir līdz  600 m²</w:t>
      </w:r>
      <w:r w:rsidR="00A12CA9">
        <w:rPr>
          <w:rFonts w:cs="Times New Roman"/>
          <w:szCs w:val="24"/>
        </w:rPr>
        <w:t>;</w:t>
      </w:r>
    </w:p>
    <w:p w14:paraId="32949F34" w14:textId="3E18DE5C" w:rsidR="004305C2" w:rsidRPr="0000359E" w:rsidRDefault="004305C2" w:rsidP="00E40F42">
      <w:pPr>
        <w:pStyle w:val="ListParagraph"/>
        <w:numPr>
          <w:ilvl w:val="0"/>
          <w:numId w:val="20"/>
        </w:numPr>
        <w:shd w:val="clear" w:color="auto" w:fill="FFFFFF"/>
        <w:spacing w:after="0" w:line="240" w:lineRule="auto"/>
        <w:jc w:val="both"/>
        <w:rPr>
          <w:rFonts w:cs="Times New Roman"/>
          <w:szCs w:val="24"/>
        </w:rPr>
      </w:pPr>
      <w:r w:rsidRPr="0000359E">
        <w:rPr>
          <w:rFonts w:cs="Times New Roman"/>
          <w:szCs w:val="24"/>
        </w:rPr>
        <w:t xml:space="preserve">apbūves teritorijās, kur atļautā izmantošana ir inženiertehniskās apgādes tīkli un to objekti, </w:t>
      </w:r>
      <w:r w:rsidR="0000359E" w:rsidRPr="0000359E">
        <w:rPr>
          <w:rFonts w:cs="Times New Roman"/>
          <w:szCs w:val="24"/>
        </w:rPr>
        <w:t>a</w:t>
      </w:r>
      <w:r w:rsidR="0000359E" w:rsidRPr="0000359E">
        <w:t xml:space="preserve">ugstuma ierobežojumi nav attiecināmi uz arhitektoniskām un tehniskām izbūvēm (virsgaismām, skursteņiem, torņiem, karogu mastiem, </w:t>
      </w:r>
      <w:r w:rsidR="0000359E" w:rsidRPr="0000359E">
        <w:lastRenderedPageBreak/>
        <w:t>elektronisko sakaru objektiem, vējrādītājiem, zibens novadītājiem un citiem līdzīga rakstura elementiem), izņemot izbūves lidostu tuvumā, kurām piemērojami speciālie aviācijas nozari regulējošie normatīvie akti un par kurām saņemams atbildīgās institūcijas saskaņojums;</w:t>
      </w:r>
    </w:p>
    <w:p w14:paraId="0AAC596C" w14:textId="1E49CD8C" w:rsidR="004305C2" w:rsidRPr="00E40F42" w:rsidRDefault="004305C2" w:rsidP="00E40F42">
      <w:pPr>
        <w:pStyle w:val="ListParagraph"/>
        <w:numPr>
          <w:ilvl w:val="0"/>
          <w:numId w:val="20"/>
        </w:numPr>
        <w:shd w:val="clear" w:color="auto" w:fill="FFFFFF"/>
        <w:spacing w:after="0" w:line="240" w:lineRule="auto"/>
        <w:jc w:val="both"/>
        <w:rPr>
          <w:rFonts w:cs="Times New Roman"/>
          <w:szCs w:val="24"/>
        </w:rPr>
      </w:pPr>
      <w:r w:rsidRPr="004A40A8">
        <w:rPr>
          <w:rFonts w:cs="Times New Roman"/>
          <w:szCs w:val="24"/>
        </w:rPr>
        <w:t>5G</w:t>
      </w:r>
      <w:r w:rsidR="008137EA" w:rsidRPr="004A40A8">
        <w:rPr>
          <w:rFonts w:cs="Times New Roman"/>
          <w:szCs w:val="24"/>
        </w:rPr>
        <w:t xml:space="preserve"> tīkla</w:t>
      </w:r>
      <w:r w:rsidRPr="004A40A8">
        <w:rPr>
          <w:rFonts w:cs="Times New Roman"/>
          <w:szCs w:val="24"/>
        </w:rPr>
        <w:t xml:space="preserve"> nodrošināšanai ap galvenajiem</w:t>
      </w:r>
      <w:r w:rsidR="008137EA" w:rsidRPr="004A40A8">
        <w:rPr>
          <w:rFonts w:cs="Times New Roman"/>
          <w:szCs w:val="24"/>
        </w:rPr>
        <w:t xml:space="preserve"> valsts</w:t>
      </w:r>
      <w:r w:rsidRPr="004A40A8">
        <w:rPr>
          <w:rFonts w:cs="Times New Roman"/>
          <w:szCs w:val="24"/>
        </w:rPr>
        <w:t xml:space="preserve"> sauszemes transporta ceļiem, iekļaujot Latvijas ostu un lidostu mezglpunktus, nepieciešams paredzēt vietas elektronisko sakaru tīkla objekt</w:t>
      </w:r>
      <w:r w:rsidR="008137EA" w:rsidRPr="004A40A8">
        <w:rPr>
          <w:rFonts w:cs="Times New Roman"/>
          <w:szCs w:val="24"/>
        </w:rPr>
        <w:t>u</w:t>
      </w:r>
      <w:r w:rsidRPr="004A40A8">
        <w:rPr>
          <w:rFonts w:cs="Times New Roman"/>
          <w:szCs w:val="24"/>
        </w:rPr>
        <w:t xml:space="preserve">, proti, </w:t>
      </w:r>
      <w:r w:rsidR="008137EA" w:rsidRPr="004A40A8">
        <w:rPr>
          <w:rFonts w:cs="Times New Roman"/>
          <w:szCs w:val="24"/>
        </w:rPr>
        <w:t>vismaz</w:t>
      </w:r>
      <w:r w:rsidRPr="004A40A8">
        <w:rPr>
          <w:rFonts w:cs="Times New Roman"/>
          <w:szCs w:val="24"/>
        </w:rPr>
        <w:t xml:space="preserve"> 36 m augstas inženierbūves (torņa/masta) izbūvei, kā arī optisk</w:t>
      </w:r>
      <w:r w:rsidR="008137EA" w:rsidRPr="004A40A8">
        <w:rPr>
          <w:rFonts w:cs="Times New Roman"/>
          <w:szCs w:val="24"/>
        </w:rPr>
        <w:t>ā t</w:t>
      </w:r>
      <w:r w:rsidR="004D7984" w:rsidRPr="004A40A8">
        <w:rPr>
          <w:rFonts w:cs="Times New Roman"/>
          <w:szCs w:val="24"/>
        </w:rPr>
        <w:t>ī</w:t>
      </w:r>
      <w:r w:rsidR="008137EA" w:rsidRPr="004A40A8">
        <w:rPr>
          <w:rFonts w:cs="Times New Roman"/>
          <w:szCs w:val="24"/>
        </w:rPr>
        <w:t>kla</w:t>
      </w:r>
      <w:r w:rsidRPr="004A40A8">
        <w:rPr>
          <w:rFonts w:cs="Times New Roman"/>
          <w:szCs w:val="24"/>
        </w:rPr>
        <w:t xml:space="preserve"> un elektroapgādes </w:t>
      </w:r>
      <w:r w:rsidRPr="004A40A8">
        <w:rPr>
          <w:rFonts w:cs="Times New Roman"/>
          <w:noProof/>
          <w:szCs w:val="24"/>
        </w:rPr>
        <w:t>pieslēgumam</w:t>
      </w:r>
      <w:r w:rsidRPr="004A40A8">
        <w:rPr>
          <w:rFonts w:cs="Times New Roman"/>
          <w:szCs w:val="24"/>
        </w:rPr>
        <w:t xml:space="preserve"> un tā infrastruktūras inženierbūvju būvniecībai ar kopējo platību </w:t>
      </w:r>
      <w:r w:rsidRPr="004A40A8">
        <w:t xml:space="preserve">līdz 100 </w:t>
      </w:r>
      <w:r w:rsidR="006769A2" w:rsidRPr="004A40A8">
        <w:t>m</w:t>
      </w:r>
      <w:r w:rsidR="006769A2" w:rsidRPr="004A40A8">
        <w:rPr>
          <w:vertAlign w:val="superscript"/>
        </w:rPr>
        <w:t>2</w:t>
      </w:r>
      <w:r w:rsidRPr="004A40A8">
        <w:t>, ik p</w:t>
      </w:r>
      <w:r w:rsidR="004D7984" w:rsidRPr="004A40A8">
        <w:t>ēc</w:t>
      </w:r>
      <w:r w:rsidRPr="004A40A8">
        <w:t xml:space="preserve"> 1</w:t>
      </w:r>
      <w:r w:rsidR="006769A2" w:rsidRPr="004A40A8">
        <w:t>,</w:t>
      </w:r>
      <w:r w:rsidRPr="004A40A8">
        <w:t>5</w:t>
      </w:r>
      <w:r w:rsidR="006769A2" w:rsidRPr="004A40A8">
        <w:t xml:space="preserve"> </w:t>
      </w:r>
      <w:r w:rsidRPr="004A40A8">
        <w:t xml:space="preserve">km. </w:t>
      </w:r>
    </w:p>
    <w:p w14:paraId="098F0BC4" w14:textId="77777777" w:rsidR="00E40F42" w:rsidRPr="004A40A8" w:rsidRDefault="00E40F42" w:rsidP="00E40F42">
      <w:pPr>
        <w:pStyle w:val="ListParagraph"/>
        <w:shd w:val="clear" w:color="auto" w:fill="FFFFFF"/>
        <w:spacing w:after="0" w:line="240" w:lineRule="auto"/>
        <w:jc w:val="both"/>
        <w:rPr>
          <w:rFonts w:cs="Times New Roman"/>
          <w:szCs w:val="24"/>
        </w:rPr>
      </w:pPr>
    </w:p>
    <w:p w14:paraId="09C68387" w14:textId="70D8977F" w:rsidR="004305C2" w:rsidRPr="004A40A8" w:rsidRDefault="004305C2" w:rsidP="00E40F42">
      <w:pPr>
        <w:pStyle w:val="Heading2"/>
        <w:numPr>
          <w:ilvl w:val="1"/>
          <w:numId w:val="25"/>
        </w:numPr>
        <w:spacing w:before="0" w:after="0" w:line="240" w:lineRule="auto"/>
        <w:rPr>
          <w:rFonts w:ascii="Times New Roman" w:hAnsi="Times New Roman" w:cs="Times New Roman"/>
          <w:b/>
          <w:bCs/>
          <w:color w:val="auto"/>
          <w:sz w:val="24"/>
          <w:szCs w:val="24"/>
        </w:rPr>
      </w:pPr>
      <w:r w:rsidRPr="004A40A8">
        <w:rPr>
          <w:rFonts w:ascii="Times New Roman" w:hAnsi="Times New Roman" w:cs="Times New Roman"/>
          <w:b/>
          <w:bCs/>
          <w:color w:val="auto"/>
          <w:sz w:val="24"/>
          <w:szCs w:val="24"/>
        </w:rPr>
        <w:t xml:space="preserve"> </w:t>
      </w:r>
      <w:bookmarkStart w:id="21" w:name="_Toc215730743"/>
      <w:r w:rsidR="00F52BFA" w:rsidRPr="004A40A8">
        <w:rPr>
          <w:rFonts w:ascii="Times New Roman" w:hAnsi="Times New Roman" w:cs="Times New Roman"/>
          <w:b/>
          <w:bCs/>
          <w:color w:val="auto"/>
          <w:sz w:val="24"/>
          <w:szCs w:val="24"/>
        </w:rPr>
        <w:t>Sabiedrības</w:t>
      </w:r>
      <w:r w:rsidR="005905B7" w:rsidRPr="004A40A8">
        <w:rPr>
          <w:rFonts w:ascii="Times New Roman" w:hAnsi="Times New Roman" w:cs="Times New Roman"/>
          <w:b/>
          <w:bCs/>
          <w:color w:val="auto"/>
          <w:sz w:val="24"/>
          <w:szCs w:val="24"/>
        </w:rPr>
        <w:t xml:space="preserve"> viedokļu</w:t>
      </w:r>
      <w:r w:rsidR="00F52BFA" w:rsidRPr="004A40A8">
        <w:rPr>
          <w:rFonts w:ascii="Times New Roman" w:hAnsi="Times New Roman" w:cs="Times New Roman"/>
          <w:b/>
          <w:bCs/>
          <w:color w:val="auto"/>
          <w:sz w:val="24"/>
          <w:szCs w:val="24"/>
        </w:rPr>
        <w:t xml:space="preserve"> ietekme l</w:t>
      </w:r>
      <w:r w:rsidRPr="004A40A8">
        <w:rPr>
          <w:rFonts w:ascii="Times New Roman" w:hAnsi="Times New Roman" w:cs="Times New Roman"/>
          <w:b/>
          <w:bCs/>
          <w:color w:val="auto"/>
          <w:sz w:val="24"/>
          <w:szCs w:val="24"/>
        </w:rPr>
        <w:t>ēmum</w:t>
      </w:r>
      <w:r w:rsidR="00F52BFA" w:rsidRPr="004A40A8">
        <w:rPr>
          <w:rFonts w:ascii="Times New Roman" w:hAnsi="Times New Roman" w:cs="Times New Roman"/>
          <w:b/>
          <w:bCs/>
          <w:color w:val="auto"/>
          <w:sz w:val="24"/>
          <w:szCs w:val="24"/>
        </w:rPr>
        <w:t xml:space="preserve">u pieņemšanā </w:t>
      </w:r>
      <w:r w:rsidRPr="004A40A8">
        <w:rPr>
          <w:rFonts w:ascii="Times New Roman" w:hAnsi="Times New Roman" w:cs="Times New Roman"/>
          <w:b/>
          <w:bCs/>
          <w:color w:val="auto"/>
          <w:sz w:val="24"/>
          <w:szCs w:val="24"/>
        </w:rPr>
        <w:t>par platjoslas</w:t>
      </w:r>
      <w:r w:rsidR="00F52BFA" w:rsidRPr="004A40A8">
        <w:rPr>
          <w:rFonts w:ascii="Times New Roman" w:hAnsi="Times New Roman" w:cs="Times New Roman"/>
          <w:b/>
          <w:bCs/>
          <w:color w:val="auto"/>
          <w:sz w:val="24"/>
          <w:szCs w:val="24"/>
        </w:rPr>
        <w:t xml:space="preserve"> elektronisko sakaru</w:t>
      </w:r>
      <w:r w:rsidRPr="004A40A8">
        <w:rPr>
          <w:rFonts w:ascii="Times New Roman" w:hAnsi="Times New Roman" w:cs="Times New Roman"/>
          <w:b/>
          <w:bCs/>
          <w:color w:val="auto"/>
          <w:sz w:val="24"/>
          <w:szCs w:val="24"/>
        </w:rPr>
        <w:t xml:space="preserve"> infrastruktūras izvēršanu</w:t>
      </w:r>
      <w:bookmarkEnd w:id="21"/>
      <w:r w:rsidRPr="004A40A8">
        <w:rPr>
          <w:rFonts w:ascii="Times New Roman" w:hAnsi="Times New Roman" w:cs="Times New Roman"/>
          <w:b/>
          <w:bCs/>
          <w:color w:val="auto"/>
          <w:sz w:val="24"/>
          <w:szCs w:val="24"/>
        </w:rPr>
        <w:t xml:space="preserve"> </w:t>
      </w:r>
    </w:p>
    <w:p w14:paraId="1FB08BE4" w14:textId="090DBBFF" w:rsidR="004305C2" w:rsidRPr="004A40A8" w:rsidRDefault="004305C2" w:rsidP="00E40F42">
      <w:pPr>
        <w:spacing w:after="0" w:line="240" w:lineRule="auto"/>
        <w:ind w:firstLine="720"/>
        <w:jc w:val="both"/>
      </w:pPr>
      <w:r w:rsidRPr="004A40A8">
        <w:t xml:space="preserve">Elektronisko sakaru komersanti ir </w:t>
      </w:r>
      <w:r w:rsidR="00F52BFA" w:rsidRPr="004A40A8">
        <w:t>norādījuši, ka nereti ir</w:t>
      </w:r>
      <w:r w:rsidRPr="004A40A8">
        <w:t xml:space="preserve"> situācij</w:t>
      </w:r>
      <w:r w:rsidR="00F52BFA" w:rsidRPr="004A40A8">
        <w:t>as</w:t>
      </w:r>
      <w:r w:rsidRPr="004A40A8">
        <w:t>, kad nav</w:t>
      </w:r>
      <w:r w:rsidR="00F52BFA" w:rsidRPr="004A40A8">
        <w:t xml:space="preserve"> bijusi</w:t>
      </w:r>
      <w:r w:rsidRPr="004A40A8">
        <w:t xml:space="preserve"> iespēja uzstādīt </w:t>
      </w:r>
      <w:r w:rsidR="00F52BFA" w:rsidRPr="004A40A8">
        <w:t xml:space="preserve">mobilo sakaru </w:t>
      </w:r>
      <w:r w:rsidRPr="004A40A8">
        <w:t>bāzes staciju/infrastruktūras objektu</w:t>
      </w:r>
      <w:r w:rsidR="00826069" w:rsidRPr="004A40A8">
        <w:t xml:space="preserve">, jo iedzīvotāji pauduši bažas par  jaunāko tehnoloģiju negatīvo ietekmi uz cilvēku veselību. </w:t>
      </w:r>
      <w:r w:rsidRPr="004A40A8">
        <w:t>Vienlai</w:t>
      </w:r>
      <w:r w:rsidR="00826069" w:rsidRPr="004A40A8">
        <w:t>kus elektronisko sakaru komersanti no iedzīvotājie</w:t>
      </w:r>
      <w:r w:rsidR="00F52BFA" w:rsidRPr="004A40A8">
        <w:t>m</w:t>
      </w:r>
      <w:r w:rsidR="00826069" w:rsidRPr="004A40A8">
        <w:t xml:space="preserve">, </w:t>
      </w:r>
      <w:r w:rsidRPr="004A40A8">
        <w:t>kas</w:t>
      </w:r>
      <w:r w:rsidR="00F52BFA" w:rsidRPr="004A40A8">
        <w:t xml:space="preserve"> veic darbu</w:t>
      </w:r>
      <w:r w:rsidRPr="004A40A8">
        <w:t xml:space="preserve"> attālināti</w:t>
      </w:r>
      <w:r w:rsidR="00826069" w:rsidRPr="004A40A8">
        <w:t>, saņem pieprasījumus pēc atbilstošiem mobilo sakaru pakalpojumiem</w:t>
      </w:r>
      <w:r w:rsidRPr="004A40A8">
        <w:t xml:space="preserve">. </w:t>
      </w:r>
      <w:r w:rsidRPr="009A358D">
        <w:t xml:space="preserve">Atsevišķas pašvaldības (piemēram Jūrmalā, Ogrē u.c.), balstoties uz </w:t>
      </w:r>
      <w:r w:rsidR="00F52BFA" w:rsidRPr="009A358D">
        <w:t>iedzīvotāju</w:t>
      </w:r>
      <w:r w:rsidRPr="009A358D">
        <w:t xml:space="preserve"> </w:t>
      </w:r>
      <w:r w:rsidR="006B1743" w:rsidRPr="009A358D">
        <w:t>izteiktajiem</w:t>
      </w:r>
      <w:r w:rsidRPr="009A358D">
        <w:t xml:space="preserve"> viedokļiem, nav atbalstīju</w:t>
      </w:r>
      <w:r w:rsidR="00F52BFA" w:rsidRPr="009A358D">
        <w:t>šas</w:t>
      </w:r>
      <w:r w:rsidRPr="009A358D">
        <w:t xml:space="preserve"> sakaru operatora būvniecības ieceri par mobilo sakaru infrastruktūras (bāzes stacijas) izveidi.</w:t>
      </w:r>
      <w:r w:rsidRPr="004A40A8">
        <w:t xml:space="preserve"> </w:t>
      </w:r>
    </w:p>
    <w:p w14:paraId="52F365FF" w14:textId="333AE4FC" w:rsidR="004305C2" w:rsidRPr="004A40A8" w:rsidRDefault="00F52BFA" w:rsidP="00E40F42">
      <w:pPr>
        <w:spacing w:after="0" w:line="240" w:lineRule="auto"/>
        <w:ind w:firstLine="720"/>
        <w:jc w:val="both"/>
      </w:pPr>
      <w:r w:rsidRPr="004A40A8">
        <w:t xml:space="preserve">Pēc Veselības inspekcijas tīmekļa vietnē pieejamās informācijas  </w:t>
      </w:r>
      <w:r w:rsidR="004305C2" w:rsidRPr="004A40A8">
        <w:t>Latvijas un Eiropas Savienības zinātnieki un veselības speciālisti ir atzinuši, ka elektronisko sakaru tīklu darbība un ekspluatācija ir pilnīgi droša un atbilst sabiedrības veselības interesēm</w:t>
      </w:r>
      <w:r w:rsidR="004305C2" w:rsidRPr="004A40A8">
        <w:rPr>
          <w:rStyle w:val="FootnoteReference"/>
        </w:rPr>
        <w:footnoteReference w:id="23"/>
      </w:r>
      <w:r w:rsidR="004305C2" w:rsidRPr="004A40A8">
        <w:t xml:space="preserve">. </w:t>
      </w:r>
      <w:r w:rsidR="007A0B8B" w:rsidRPr="004A40A8">
        <w:t>M</w:t>
      </w:r>
      <w:r w:rsidR="004305C2" w:rsidRPr="004A40A8">
        <w:t>obilo sakaru pārklājum</w:t>
      </w:r>
      <w:r w:rsidR="007A0B8B" w:rsidRPr="004A40A8">
        <w:t>a uzlabošanai ir liela nozīme attiecībā uz</w:t>
      </w:r>
      <w:r w:rsidR="004305C2" w:rsidRPr="004A40A8">
        <w:t xml:space="preserve"> iedzīvotāju drošīb</w:t>
      </w:r>
      <w:r w:rsidR="007A0B8B" w:rsidRPr="004A40A8">
        <w:t>u</w:t>
      </w:r>
      <w:r w:rsidR="004305C2" w:rsidRPr="004A40A8">
        <w:t xml:space="preserve"> (</w:t>
      </w:r>
      <w:r w:rsidR="007A0B8B" w:rsidRPr="004A40A8">
        <w:t xml:space="preserve">piemēram, </w:t>
      </w:r>
      <w:r w:rsidRPr="004A40A8">
        <w:t xml:space="preserve">nepieciešamības gadījumā </w:t>
      </w:r>
      <w:r w:rsidR="004305C2" w:rsidRPr="004A40A8">
        <w:t>var piezvanīt</w:t>
      </w:r>
      <w:r w:rsidR="007A0B8B" w:rsidRPr="004A40A8">
        <w:t xml:space="preserve"> uz vienoto ārkārtas palīdzības izsaukumu numuru </w:t>
      </w:r>
      <w:r w:rsidR="004305C2" w:rsidRPr="004A40A8">
        <w:t>112, var saņemt brīdinājumus par ārkārtas situācijām</w:t>
      </w:r>
      <w:r w:rsidR="007A0B8B" w:rsidRPr="004A40A8">
        <w:t xml:space="preserve"> u.c.</w:t>
      </w:r>
      <w:r w:rsidR="004305C2" w:rsidRPr="004A40A8">
        <w:t xml:space="preserve"> Līdz ar to pašvaldībai būtu jāieņem zinātniski pamatota un sabiedrības drošības interesēm atbilstoša pozīcija – neliedzot attīstīt elektronisko sakaru pieejamību savā administratīvajā teritorijā.  </w:t>
      </w:r>
    </w:p>
    <w:p w14:paraId="5E9CBC01" w14:textId="14297A0A" w:rsidR="004305C2" w:rsidRPr="004A40A8" w:rsidRDefault="004305C2" w:rsidP="00E40F42">
      <w:pPr>
        <w:shd w:val="clear" w:color="auto" w:fill="FFFFFF"/>
        <w:spacing w:after="0" w:line="240" w:lineRule="auto"/>
        <w:ind w:firstLine="709"/>
        <w:jc w:val="both"/>
      </w:pPr>
      <w:r w:rsidRPr="004A40A8">
        <w:rPr>
          <w:rFonts w:cs="Times New Roman"/>
          <w:b/>
          <w:bCs/>
          <w:szCs w:val="24"/>
        </w:rPr>
        <w:t>Ieteikums:</w:t>
      </w:r>
      <w:r w:rsidRPr="004A40A8">
        <w:rPr>
          <w:rFonts w:cs="Times New Roman"/>
          <w:szCs w:val="24"/>
        </w:rPr>
        <w:t xml:space="preserve"> Pašvaldībai ir jāveicina ilgtspējīga </w:t>
      </w:r>
      <w:r w:rsidRPr="00987059">
        <w:rPr>
          <w:rFonts w:cs="Times New Roman"/>
          <w:szCs w:val="24"/>
        </w:rPr>
        <w:t>teritorijas attīstība, tostarp, veicinot elektronisko sakaru infrastruktūras izvēršanu savā teritorijā.</w:t>
      </w:r>
      <w:r w:rsidR="006B1743">
        <w:rPr>
          <w:rFonts w:cs="Times New Roman"/>
          <w:szCs w:val="24"/>
        </w:rPr>
        <w:t xml:space="preserve"> P</w:t>
      </w:r>
      <w:r w:rsidR="007A0B8B" w:rsidRPr="00987059">
        <w:rPr>
          <w:rFonts w:cs="Times New Roman"/>
          <w:szCs w:val="24"/>
        </w:rPr>
        <w:t>ar</w:t>
      </w:r>
      <w:r w:rsidRPr="00987059">
        <w:rPr>
          <w:rFonts w:cs="Times New Roman"/>
          <w:szCs w:val="24"/>
        </w:rPr>
        <w:t xml:space="preserve"> pamatot</w:t>
      </w:r>
      <w:r w:rsidR="007A0B8B" w:rsidRPr="00987059">
        <w:rPr>
          <w:rFonts w:cs="Times New Roman"/>
          <w:szCs w:val="24"/>
        </w:rPr>
        <w:t>u atteikumu</w:t>
      </w:r>
      <w:r w:rsidRPr="00987059">
        <w:rPr>
          <w:rFonts w:cs="Times New Roman"/>
          <w:szCs w:val="24"/>
        </w:rPr>
        <w:t xml:space="preserve"> </w:t>
      </w:r>
      <w:r w:rsidR="005A630C" w:rsidRPr="00987059">
        <w:rPr>
          <w:rFonts w:cs="Times New Roman"/>
          <w:szCs w:val="24"/>
        </w:rPr>
        <w:t xml:space="preserve">ir uzskatāmi </w:t>
      </w:r>
      <w:r w:rsidR="00987059" w:rsidRPr="00987059">
        <w:rPr>
          <w:rFonts w:cs="Times New Roman"/>
          <w:szCs w:val="24"/>
        </w:rPr>
        <w:t>Gigabitu regul</w:t>
      </w:r>
      <w:r w:rsidR="00987059">
        <w:rPr>
          <w:rFonts w:cs="Times New Roman"/>
          <w:szCs w:val="24"/>
        </w:rPr>
        <w:t>as</w:t>
      </w:r>
      <w:r w:rsidR="00987059" w:rsidRPr="00987059">
        <w:rPr>
          <w:rFonts w:cs="Times New Roman"/>
          <w:szCs w:val="24"/>
        </w:rPr>
        <w:t xml:space="preserve"> 3. panta 5. punktā noteiktie gadījumi, tostarp, </w:t>
      </w:r>
      <w:r w:rsidR="00987059" w:rsidRPr="00987059">
        <w:rPr>
          <w:rFonts w:cs="Times New Roman"/>
          <w:szCs w:val="24"/>
        </w:rPr>
        <w:br/>
        <w:t>ja pastāv pamatoti iemesli saistībā ar drošumu, valsts drošību un sabiedrības veselību.</w:t>
      </w:r>
      <w:r w:rsidR="00987059">
        <w:rPr>
          <w:rFonts w:cs="Times New Roman"/>
          <w:szCs w:val="24"/>
        </w:rPr>
        <w:t xml:space="preserve"> </w:t>
      </w:r>
    </w:p>
    <w:p w14:paraId="78EA378B" w14:textId="5590E2F9" w:rsidR="007B601C" w:rsidRPr="000B4041" w:rsidRDefault="000E64E4" w:rsidP="000B4041">
      <w:pPr>
        <w:pStyle w:val="Heading1"/>
        <w:numPr>
          <w:ilvl w:val="0"/>
          <w:numId w:val="25"/>
        </w:numPr>
        <w:rPr>
          <w:rFonts w:ascii="Times New Roman" w:hAnsi="Times New Roman" w:cs="Times New Roman"/>
          <w:b/>
          <w:bCs/>
          <w:color w:val="auto"/>
          <w:sz w:val="24"/>
          <w:szCs w:val="24"/>
        </w:rPr>
      </w:pPr>
      <w:bookmarkStart w:id="22" w:name="_Toc215730744"/>
      <w:r w:rsidRPr="00EE261F">
        <w:rPr>
          <w:rFonts w:ascii="Times New Roman" w:hAnsi="Times New Roman" w:cs="Times New Roman"/>
          <w:b/>
          <w:bCs/>
          <w:color w:val="auto"/>
          <w:sz w:val="24"/>
          <w:szCs w:val="24"/>
        </w:rPr>
        <w:t>Būtiskākie pamatprincipi</w:t>
      </w:r>
      <w:r w:rsidR="00EE261F" w:rsidRPr="00EE261F">
        <w:rPr>
          <w:rFonts w:ascii="Times New Roman" w:hAnsi="Times New Roman" w:cs="Times New Roman"/>
          <w:b/>
          <w:bCs/>
          <w:color w:val="auto"/>
          <w:sz w:val="24"/>
          <w:szCs w:val="24"/>
        </w:rPr>
        <w:t xml:space="preserve"> fiziskās infrastruktūras īpašnieka vai pārvaldītāja un elektronisko sakaru komersanta savstarpējās sadarbības organizēšanai iekārtu ekspluatācijas laikā</w:t>
      </w:r>
      <w:bookmarkEnd w:id="22"/>
      <w:r w:rsidRPr="00EE261F">
        <w:rPr>
          <w:rFonts w:ascii="Times New Roman" w:hAnsi="Times New Roman" w:cs="Times New Roman"/>
          <w:b/>
          <w:bCs/>
          <w:color w:val="auto"/>
          <w:sz w:val="24"/>
          <w:szCs w:val="24"/>
        </w:rPr>
        <w:t xml:space="preserve"> </w:t>
      </w:r>
    </w:p>
    <w:p w14:paraId="30402030" w14:textId="363414C0" w:rsidR="00F01D46" w:rsidRPr="007B601C" w:rsidRDefault="007B601C" w:rsidP="00C10336">
      <w:pPr>
        <w:spacing w:after="0" w:line="240" w:lineRule="auto"/>
        <w:jc w:val="both"/>
        <w:rPr>
          <w:color w:val="000000" w:themeColor="text1"/>
        </w:rPr>
      </w:pPr>
      <w:r w:rsidRPr="007B601C">
        <w:rPr>
          <w:rFonts w:cs="Times New Roman"/>
          <w:color w:val="000000"/>
        </w:rPr>
        <w:t xml:space="preserve"> </w:t>
      </w:r>
      <w:r w:rsidR="00F01D46">
        <w:rPr>
          <w:rFonts w:cs="Times New Roman"/>
          <w:color w:val="000000"/>
        </w:rPr>
        <w:tab/>
      </w:r>
      <w:r w:rsidR="00F01D46" w:rsidRPr="007B601C">
        <w:rPr>
          <w:rFonts w:cs="Times New Roman"/>
          <w:color w:val="000000"/>
        </w:rPr>
        <w:t>Pirms bezvadu iekārtu uzstādīšanas nepieciešams noslēgt divpusēju vienošanos par sadarbības principiem un turpmāko fiziskās infrastruktūras kopīgo ekspluatāciju, kurā iekļaujami nosacījumi</w:t>
      </w:r>
      <w:r w:rsidR="00F01D46">
        <w:rPr>
          <w:rFonts w:cs="Times New Roman"/>
          <w:color w:val="000000"/>
        </w:rPr>
        <w:t>, tostarp</w:t>
      </w:r>
      <w:r w:rsidR="00F01D46" w:rsidRPr="007B601C">
        <w:rPr>
          <w:rFonts w:cs="Times New Roman"/>
          <w:color w:val="000000"/>
        </w:rPr>
        <w:t xml:space="preserve">  par darbu organizāciju, par uzstādīto iekārtu un aprīkojuma apkalpošanu un </w:t>
      </w:r>
      <w:r w:rsidR="00A8410D">
        <w:rPr>
          <w:rFonts w:cs="Times New Roman"/>
          <w:color w:val="000000"/>
        </w:rPr>
        <w:t>demontāžu</w:t>
      </w:r>
      <w:r w:rsidR="00F01D46" w:rsidRPr="007B601C">
        <w:rPr>
          <w:rFonts w:cs="Times New Roman"/>
          <w:color w:val="000000"/>
        </w:rPr>
        <w:t xml:space="preserve"> pēc to ekspluatācijas termiņa iestāšanās, par uzstādīto iekārtu un aprīkojuma pārvietošanu, ja prasības nenosaka attiecīgie normatīvie akti. </w:t>
      </w:r>
    </w:p>
    <w:p w14:paraId="515E717A" w14:textId="4F61AF8B" w:rsidR="00F053DC" w:rsidRDefault="00F01D46" w:rsidP="00C10336">
      <w:pPr>
        <w:keepLines/>
        <w:autoSpaceDE w:val="0"/>
        <w:autoSpaceDN w:val="0"/>
        <w:adjustRightInd w:val="0"/>
        <w:spacing w:after="0" w:line="240" w:lineRule="auto"/>
        <w:ind w:firstLine="720"/>
        <w:jc w:val="both"/>
        <w:rPr>
          <w:rFonts w:cs="Times New Roman"/>
          <w:color w:val="000000"/>
        </w:rPr>
      </w:pPr>
      <w:r>
        <w:rPr>
          <w:rFonts w:cs="Times New Roman"/>
          <w:color w:val="000000"/>
        </w:rPr>
        <w:lastRenderedPageBreak/>
        <w:t>Piemēram, ja fizisko infrastruktūru, uz kuras ir uzstādītas iekārtas, būs nepieciešams pārbūvēt (jo tā sasniegusi savu ekspluatācijas termiņu), pārvietot (pēc trešo pušu lūguma) vai arī pārbūvēt/atjaunot bojājumu gadījumā, nepieciešams vienošanās iekļaut atbildību sadalījumu iekārtu darbības nepārtrauktības atjaunošanā un nodrošināšanā</w:t>
      </w:r>
      <w:r w:rsidR="00F053DC">
        <w:rPr>
          <w:rFonts w:cs="Times New Roman"/>
          <w:color w:val="000000"/>
        </w:rPr>
        <w:t xml:space="preserve">, tostarp </w:t>
      </w:r>
      <w:r w:rsidR="00F053DC" w:rsidRPr="00CE39FA">
        <w:t>par pienākumu saprātīgā termiņā</w:t>
      </w:r>
      <w:r w:rsidR="00580DDC">
        <w:t xml:space="preserve"> (aptuveni gadu iepriekš)</w:t>
      </w:r>
      <w:r w:rsidR="00F053DC" w:rsidRPr="00CE39FA">
        <w:t xml:space="preserve"> paziņot par plānotiem remonta darbiem un pušu rīcību infrastruktūras pārbūves</w:t>
      </w:r>
      <w:r w:rsidR="00F053DC">
        <w:t xml:space="preserve"> vai nojaukšanas</w:t>
      </w:r>
      <w:r w:rsidR="00F053DC" w:rsidRPr="00CE39FA">
        <w:t xml:space="preserve"> gadījumā</w:t>
      </w:r>
      <w:r w:rsidR="003B6A66">
        <w:t xml:space="preserve">, lai elektronisko sakaru komersantam būtu iespēja </w:t>
      </w:r>
      <w:r w:rsidR="003B6A66" w:rsidRPr="00CE39FA">
        <w:t xml:space="preserve">sameklēt citu </w:t>
      </w:r>
      <w:r w:rsidR="003B6A66">
        <w:t>fizisko infrastruktūru</w:t>
      </w:r>
      <w:r w:rsidR="003B6A66" w:rsidRPr="00CE39FA">
        <w:t>, kas ir piemērota sakaru tīklu nodrošināšanai.</w:t>
      </w:r>
    </w:p>
    <w:p w14:paraId="06487222" w14:textId="38BEFF41" w:rsidR="007B601C" w:rsidRDefault="007B601C" w:rsidP="00F01D46">
      <w:pPr>
        <w:jc w:val="both"/>
        <w:rPr>
          <w:rFonts w:cs="Times New Roman"/>
          <w:color w:val="000000"/>
        </w:rPr>
      </w:pPr>
    </w:p>
    <w:p w14:paraId="0FF01F40" w14:textId="77777777" w:rsidR="007B601C" w:rsidRDefault="007B601C" w:rsidP="00A3790C">
      <w:pPr>
        <w:keepLines/>
        <w:autoSpaceDE w:val="0"/>
        <w:autoSpaceDN w:val="0"/>
        <w:adjustRightInd w:val="0"/>
        <w:spacing w:after="0" w:line="240" w:lineRule="auto"/>
        <w:ind w:firstLine="360"/>
        <w:jc w:val="both"/>
        <w:rPr>
          <w:rFonts w:cs="Times New Roman"/>
          <w:color w:val="000000"/>
        </w:rPr>
      </w:pPr>
    </w:p>
    <w:p w14:paraId="4F4F4DB1" w14:textId="77777777" w:rsidR="003B6A66" w:rsidRDefault="003B6A66" w:rsidP="00F053DC">
      <w:pPr>
        <w:keepLines/>
        <w:autoSpaceDE w:val="0"/>
        <w:autoSpaceDN w:val="0"/>
        <w:adjustRightInd w:val="0"/>
        <w:spacing w:after="0" w:line="240" w:lineRule="auto"/>
        <w:jc w:val="both"/>
      </w:pPr>
    </w:p>
    <w:p w14:paraId="2A127547" w14:textId="77777777" w:rsidR="003B6A66" w:rsidRDefault="003B6A66" w:rsidP="00F053DC">
      <w:pPr>
        <w:keepLines/>
        <w:autoSpaceDE w:val="0"/>
        <w:autoSpaceDN w:val="0"/>
        <w:adjustRightInd w:val="0"/>
        <w:spacing w:after="0" w:line="240" w:lineRule="auto"/>
        <w:jc w:val="both"/>
      </w:pPr>
    </w:p>
    <w:p w14:paraId="186CE7E4" w14:textId="77777777" w:rsidR="003B6A66" w:rsidRDefault="003B6A66" w:rsidP="00F053DC">
      <w:pPr>
        <w:keepLines/>
        <w:autoSpaceDE w:val="0"/>
        <w:autoSpaceDN w:val="0"/>
        <w:adjustRightInd w:val="0"/>
        <w:spacing w:after="0" w:line="240" w:lineRule="auto"/>
        <w:jc w:val="both"/>
      </w:pPr>
    </w:p>
    <w:p w14:paraId="7908E9F6" w14:textId="77777777" w:rsidR="003B6A66" w:rsidRDefault="003B6A66" w:rsidP="00F053DC">
      <w:pPr>
        <w:keepLines/>
        <w:autoSpaceDE w:val="0"/>
        <w:autoSpaceDN w:val="0"/>
        <w:adjustRightInd w:val="0"/>
        <w:spacing w:after="0" w:line="240" w:lineRule="auto"/>
        <w:jc w:val="both"/>
      </w:pPr>
    </w:p>
    <w:p w14:paraId="1C5C5A1B" w14:textId="77777777" w:rsidR="003B6A66" w:rsidRDefault="003B6A66" w:rsidP="00F053DC">
      <w:pPr>
        <w:keepLines/>
        <w:autoSpaceDE w:val="0"/>
        <w:autoSpaceDN w:val="0"/>
        <w:adjustRightInd w:val="0"/>
        <w:spacing w:after="0" w:line="240" w:lineRule="auto"/>
        <w:jc w:val="both"/>
      </w:pPr>
    </w:p>
    <w:p w14:paraId="46F41FD3" w14:textId="77777777" w:rsidR="003B6A66" w:rsidRDefault="003B6A66" w:rsidP="00F053DC">
      <w:pPr>
        <w:keepLines/>
        <w:autoSpaceDE w:val="0"/>
        <w:autoSpaceDN w:val="0"/>
        <w:adjustRightInd w:val="0"/>
        <w:spacing w:after="0" w:line="240" w:lineRule="auto"/>
        <w:jc w:val="both"/>
      </w:pPr>
    </w:p>
    <w:p w14:paraId="53678996" w14:textId="77777777" w:rsidR="003B6A66" w:rsidRDefault="003B6A66" w:rsidP="00F053DC">
      <w:pPr>
        <w:keepLines/>
        <w:autoSpaceDE w:val="0"/>
        <w:autoSpaceDN w:val="0"/>
        <w:adjustRightInd w:val="0"/>
        <w:spacing w:after="0" w:line="240" w:lineRule="auto"/>
        <w:jc w:val="both"/>
      </w:pPr>
    </w:p>
    <w:p w14:paraId="0FA3945E" w14:textId="77777777" w:rsidR="003B6A66" w:rsidRDefault="003B6A66" w:rsidP="00F053DC">
      <w:pPr>
        <w:keepLines/>
        <w:autoSpaceDE w:val="0"/>
        <w:autoSpaceDN w:val="0"/>
        <w:adjustRightInd w:val="0"/>
        <w:spacing w:after="0" w:line="240" w:lineRule="auto"/>
        <w:jc w:val="both"/>
      </w:pPr>
    </w:p>
    <w:p w14:paraId="196A9447" w14:textId="77777777" w:rsidR="003B6A66" w:rsidRDefault="003B6A66" w:rsidP="00F053DC">
      <w:pPr>
        <w:keepLines/>
        <w:autoSpaceDE w:val="0"/>
        <w:autoSpaceDN w:val="0"/>
        <w:adjustRightInd w:val="0"/>
        <w:spacing w:after="0" w:line="240" w:lineRule="auto"/>
        <w:jc w:val="both"/>
      </w:pPr>
    </w:p>
    <w:p w14:paraId="328A9E6F" w14:textId="77777777" w:rsidR="003B6A66" w:rsidRDefault="003B6A66" w:rsidP="00F053DC">
      <w:pPr>
        <w:keepLines/>
        <w:autoSpaceDE w:val="0"/>
        <w:autoSpaceDN w:val="0"/>
        <w:adjustRightInd w:val="0"/>
        <w:spacing w:after="0" w:line="240" w:lineRule="auto"/>
        <w:jc w:val="both"/>
      </w:pPr>
    </w:p>
    <w:p w14:paraId="5C07BCA4" w14:textId="77777777" w:rsidR="003B6A66" w:rsidRDefault="003B6A66" w:rsidP="00F053DC">
      <w:pPr>
        <w:keepLines/>
        <w:autoSpaceDE w:val="0"/>
        <w:autoSpaceDN w:val="0"/>
        <w:adjustRightInd w:val="0"/>
        <w:spacing w:after="0" w:line="240" w:lineRule="auto"/>
        <w:jc w:val="both"/>
      </w:pPr>
    </w:p>
    <w:p w14:paraId="1F9BEE09" w14:textId="77777777" w:rsidR="003B6A66" w:rsidRDefault="003B6A66" w:rsidP="00F053DC">
      <w:pPr>
        <w:keepLines/>
        <w:autoSpaceDE w:val="0"/>
        <w:autoSpaceDN w:val="0"/>
        <w:adjustRightInd w:val="0"/>
        <w:spacing w:after="0" w:line="240" w:lineRule="auto"/>
        <w:jc w:val="both"/>
      </w:pPr>
    </w:p>
    <w:p w14:paraId="25351EE7" w14:textId="77777777" w:rsidR="003B6A66" w:rsidRDefault="003B6A66" w:rsidP="00F053DC">
      <w:pPr>
        <w:keepLines/>
        <w:autoSpaceDE w:val="0"/>
        <w:autoSpaceDN w:val="0"/>
        <w:adjustRightInd w:val="0"/>
        <w:spacing w:after="0" w:line="240" w:lineRule="auto"/>
        <w:jc w:val="both"/>
      </w:pPr>
    </w:p>
    <w:p w14:paraId="03969582" w14:textId="77777777" w:rsidR="003B6A66" w:rsidRDefault="003B6A66" w:rsidP="00F053DC">
      <w:pPr>
        <w:keepLines/>
        <w:autoSpaceDE w:val="0"/>
        <w:autoSpaceDN w:val="0"/>
        <w:adjustRightInd w:val="0"/>
        <w:spacing w:after="0" w:line="240" w:lineRule="auto"/>
        <w:jc w:val="both"/>
      </w:pPr>
    </w:p>
    <w:p w14:paraId="2BAECF84" w14:textId="77777777" w:rsidR="00B53D3E" w:rsidRPr="004A40A8" w:rsidRDefault="00B53D3E" w:rsidP="00D958DF">
      <w:pPr>
        <w:spacing w:before="120"/>
        <w:jc w:val="both"/>
        <w:rPr>
          <w:rFonts w:eastAsia="Times New Roman"/>
          <w:szCs w:val="24"/>
        </w:rPr>
      </w:pPr>
    </w:p>
    <w:p w14:paraId="4AE6DFF6" w14:textId="2DE4FA43" w:rsidR="00B53D3E" w:rsidRPr="004A40A8" w:rsidRDefault="00B53D3E" w:rsidP="00022DA3">
      <w:pPr>
        <w:spacing w:after="0" w:line="240" w:lineRule="auto"/>
        <w:ind w:left="360"/>
      </w:pPr>
    </w:p>
    <w:sectPr w:rsidR="00B53D3E" w:rsidRPr="004A40A8" w:rsidSect="004D4082">
      <w:headerReference w:type="default" r:id="rId9"/>
      <w:head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7139" w14:textId="77777777" w:rsidR="003564EA" w:rsidRDefault="003564EA" w:rsidP="00003014">
      <w:pPr>
        <w:spacing w:after="0" w:line="240" w:lineRule="auto"/>
      </w:pPr>
      <w:r>
        <w:separator/>
      </w:r>
    </w:p>
  </w:endnote>
  <w:endnote w:type="continuationSeparator" w:id="0">
    <w:p w14:paraId="351D5A0D" w14:textId="77777777" w:rsidR="003564EA" w:rsidRDefault="003564EA" w:rsidP="00003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0ADDA" w14:textId="77777777" w:rsidR="003564EA" w:rsidRDefault="003564EA" w:rsidP="00003014">
      <w:pPr>
        <w:spacing w:after="0" w:line="240" w:lineRule="auto"/>
      </w:pPr>
      <w:r>
        <w:separator/>
      </w:r>
    </w:p>
  </w:footnote>
  <w:footnote w:type="continuationSeparator" w:id="0">
    <w:p w14:paraId="2E676ACF" w14:textId="77777777" w:rsidR="003564EA" w:rsidRDefault="003564EA" w:rsidP="00003014">
      <w:pPr>
        <w:spacing w:after="0" w:line="240" w:lineRule="auto"/>
      </w:pPr>
      <w:r>
        <w:continuationSeparator/>
      </w:r>
    </w:p>
  </w:footnote>
  <w:footnote w:id="1">
    <w:p w14:paraId="56BD320F" w14:textId="49768301" w:rsidR="00AB4DFC" w:rsidRDefault="00AB4DFC" w:rsidP="00C579F6">
      <w:pPr>
        <w:pStyle w:val="FootnoteText"/>
      </w:pPr>
      <w:r w:rsidRPr="00AB4DFC">
        <w:rPr>
          <w:rStyle w:val="FootnoteReference"/>
        </w:rPr>
        <w:footnoteRef/>
      </w:r>
      <w:r w:rsidRPr="00AB4DFC">
        <w:t xml:space="preserve"> </w:t>
      </w:r>
      <w:r w:rsidRPr="00AB4DFC">
        <w:rPr>
          <w:rFonts w:cs="Times New Roman"/>
        </w:rPr>
        <w:t xml:space="preserve">Elektronisko sakaru nozares attīstības plāns 2021.-2027. gadam (apstiprināts ar Ministru kabineta 2021. gada 11 .novembra rīkojums Nr. 826): </w:t>
      </w:r>
      <w:hyperlink r:id="rId1" w:history="1">
        <w:r w:rsidRPr="00AB4DFC">
          <w:rPr>
            <w:rStyle w:val="Hyperlink"/>
            <w:rFonts w:cs="Times New Roman"/>
          </w:rPr>
          <w:t>https://likumi.lv/ta/id/327586-par-elektronisko-sakaru-nozares-attistibas-planu-2021-2027-gadam</w:t>
        </w:r>
      </w:hyperlink>
    </w:p>
  </w:footnote>
  <w:footnote w:id="2">
    <w:p w14:paraId="71A75F6D" w14:textId="628CA25D" w:rsidR="00117895" w:rsidRDefault="00117895">
      <w:pPr>
        <w:pStyle w:val="FootnoteText"/>
      </w:pPr>
      <w:r>
        <w:rPr>
          <w:rStyle w:val="FootnoteReference"/>
        </w:rPr>
        <w:footnoteRef/>
      </w:r>
      <w:r>
        <w:t xml:space="preserve"> </w:t>
      </w:r>
      <w:r w:rsidRPr="00C579F6">
        <w:rPr>
          <w:rFonts w:cs="Times New Roman"/>
        </w:rPr>
        <w:t xml:space="preserve">Informatīvais ziņojums "Ceļvedis piektās paaudzes (5G) publisko mobilo elektronisko sakaru tīklu ieviešanai Latvijā" (pieņemts </w:t>
      </w:r>
      <w:r w:rsidRPr="009D4AA1">
        <w:rPr>
          <w:rFonts w:cs="Times New Roman"/>
        </w:rPr>
        <w:t>Ministru kabineta</w:t>
      </w:r>
      <w:r w:rsidRPr="00C579F6">
        <w:rPr>
          <w:rFonts w:cs="Times New Roman"/>
        </w:rPr>
        <w:t xml:space="preserve"> </w:t>
      </w:r>
      <w:r w:rsidRPr="009D4AA1">
        <w:rPr>
          <w:rFonts w:cs="Times New Roman"/>
        </w:rPr>
        <w:t xml:space="preserve"> 2020. gada 18. februār</w:t>
      </w:r>
      <w:r w:rsidRPr="00C579F6">
        <w:rPr>
          <w:rFonts w:cs="Times New Roman"/>
        </w:rPr>
        <w:t xml:space="preserve">a </w:t>
      </w:r>
      <w:r w:rsidRPr="009D4AA1">
        <w:rPr>
          <w:rFonts w:cs="Times New Roman"/>
        </w:rPr>
        <w:t>sēd</w:t>
      </w:r>
      <w:r w:rsidRPr="00C579F6">
        <w:rPr>
          <w:rFonts w:cs="Times New Roman"/>
        </w:rPr>
        <w:t>ē)</w:t>
      </w:r>
      <w:r w:rsidR="00E52829">
        <w:rPr>
          <w:rFonts w:cs="Times New Roman"/>
        </w:rPr>
        <w:t xml:space="preserve"> (</w:t>
      </w:r>
      <w:r w:rsidR="00E52829" w:rsidRPr="00E4421E">
        <w:rPr>
          <w:rFonts w:eastAsia="Times New Roman"/>
          <w:szCs w:val="24"/>
        </w:rPr>
        <w:t>C</w:t>
      </w:r>
      <w:r w:rsidR="00E52829" w:rsidRPr="00E4421E">
        <w:rPr>
          <w:rFonts w:cs="Times New Roman"/>
        </w:rPr>
        <w:t>eļved</w:t>
      </w:r>
      <w:r w:rsidR="00E52829">
        <w:rPr>
          <w:rFonts w:cs="Times New Roman"/>
        </w:rPr>
        <w:t xml:space="preserve">is </w:t>
      </w:r>
      <w:r w:rsidR="00E52829" w:rsidRPr="00E4421E">
        <w:rPr>
          <w:rFonts w:cs="Times New Roman"/>
        </w:rPr>
        <w:t>5G</w:t>
      </w:r>
      <w:r w:rsidR="00E52829">
        <w:rPr>
          <w:rFonts w:cs="Times New Roman"/>
        </w:rPr>
        <w:t xml:space="preserve"> </w:t>
      </w:r>
      <w:r w:rsidR="00E52829" w:rsidRPr="00E4421E">
        <w:rPr>
          <w:rFonts w:cs="Times New Roman"/>
        </w:rPr>
        <w:t>publisko mobilo elektronisko sakaru tīklu ieviešanai Latvijā</w:t>
      </w:r>
      <w:r w:rsidR="00E52829">
        <w:rPr>
          <w:rFonts w:cs="Times New Roman"/>
        </w:rPr>
        <w:t>).</w:t>
      </w:r>
    </w:p>
  </w:footnote>
  <w:footnote w:id="3">
    <w:p w14:paraId="39993059" w14:textId="77777777" w:rsidR="00AB4DFC" w:rsidRPr="00367CCE" w:rsidRDefault="00AB4DFC" w:rsidP="00C579F6">
      <w:pPr>
        <w:pStyle w:val="FootnoteText"/>
        <w:rPr>
          <w:rFonts w:cs="Times New Roman"/>
          <w:color w:val="414142"/>
          <w:shd w:val="clear" w:color="auto" w:fill="FFFFFF"/>
        </w:rPr>
      </w:pPr>
      <w:r w:rsidRPr="00367CCE">
        <w:rPr>
          <w:rStyle w:val="FootnoteReference"/>
          <w:rFonts w:cs="Times New Roman"/>
        </w:rPr>
        <w:footnoteRef/>
      </w:r>
      <w:r w:rsidRPr="00367CCE">
        <w:rPr>
          <w:rFonts w:cs="Times New Roman"/>
        </w:rPr>
        <w:t xml:space="preserve"> </w:t>
      </w:r>
      <w:r w:rsidRPr="00367CCE">
        <w:rPr>
          <w:rFonts w:cs="Times New Roman"/>
          <w:color w:val="414142"/>
          <w:shd w:val="clear" w:color="auto" w:fill="FFFFFF"/>
        </w:rPr>
        <w:t>Eiropas Komisijas 2016.gada 14.septembra paziņojums COM(2016) 587 Eiropas Parlamentam, Padomei, Eiropas Ekonomikas un Sociālo Lietu Komitejai un Reģionu Komitejai "Konkurētspējīga digitālā vienotā tirgus savienojamība. Virzība uz Eiropas Gigabitu sabiedrību:</w:t>
      </w:r>
    </w:p>
    <w:p w14:paraId="74BEB412" w14:textId="483DC44B" w:rsidR="00AB4DFC" w:rsidRPr="00367CCE" w:rsidRDefault="00AB4DFC" w:rsidP="00C579F6">
      <w:pPr>
        <w:pStyle w:val="FootnoteText"/>
        <w:rPr>
          <w:rFonts w:cs="Times New Roman"/>
        </w:rPr>
      </w:pPr>
      <w:hyperlink r:id="rId2" w:history="1">
        <w:r w:rsidRPr="00367CCE">
          <w:rPr>
            <w:rStyle w:val="Hyperlink"/>
            <w:rFonts w:cs="Times New Roman"/>
          </w:rPr>
          <w:t>https://eur-lex.europa.eu/legal-content/LV/TXT/?uri=CELEX%3A52016DC0587</w:t>
        </w:r>
      </w:hyperlink>
    </w:p>
  </w:footnote>
  <w:footnote w:id="4">
    <w:p w14:paraId="4596C01D" w14:textId="77777777" w:rsidR="00C579F6" w:rsidRPr="00C32E17" w:rsidRDefault="00C579F6" w:rsidP="00C579F6">
      <w:pPr>
        <w:pStyle w:val="FootnoteText"/>
        <w:rPr>
          <w:rFonts w:eastAsia="Times New Roman" w:cs="Times New Roman"/>
          <w:color w:val="333333"/>
        </w:rPr>
      </w:pPr>
      <w:r>
        <w:rPr>
          <w:rStyle w:val="FootnoteReference"/>
        </w:rPr>
        <w:footnoteRef/>
      </w:r>
      <w:r>
        <w:t xml:space="preserve"> </w:t>
      </w:r>
      <w:r w:rsidRPr="00C32E17">
        <w:rPr>
          <w:rFonts w:eastAsia="Times New Roman" w:cs="Times New Roman"/>
          <w:color w:val="333333"/>
        </w:rPr>
        <w:t>EIROPAS PARLAMENTA UN PADOMES LĒMUMS (ES) 2022/2481 (2022. gada 14. decembris), ar ko izveido politikas programmu “Digitālās desmitgades ceļš” 2030. gadam:</w:t>
      </w:r>
    </w:p>
    <w:p w14:paraId="2E478E83" w14:textId="04A04A6A" w:rsidR="00C579F6" w:rsidRDefault="00C579F6" w:rsidP="00CC09DD">
      <w:pPr>
        <w:spacing w:after="0" w:line="240" w:lineRule="auto"/>
      </w:pPr>
      <w:hyperlink r:id="rId3" w:history="1">
        <w:r w:rsidRPr="00C32E17">
          <w:rPr>
            <w:rFonts w:eastAsia="Times New Roman" w:cs="Times New Roman"/>
            <w:color w:val="0000FF"/>
            <w:sz w:val="20"/>
            <w:szCs w:val="20"/>
            <w:u w:val="single"/>
            <w:lang w:eastAsia="lv-LV"/>
          </w:rPr>
          <w:t>https://eur-lex.europa.eu/legal-content/LV/TXT/PDF/?uri=CELEX:32022D2481</w:t>
        </w:r>
      </w:hyperlink>
    </w:p>
  </w:footnote>
  <w:footnote w:id="5">
    <w:p w14:paraId="5DC3DAC6" w14:textId="14537DD5" w:rsidR="00E860E4" w:rsidRDefault="00E860E4" w:rsidP="00E860E4">
      <w:pPr>
        <w:pStyle w:val="FootnoteText"/>
      </w:pPr>
      <w:r>
        <w:rPr>
          <w:rStyle w:val="FootnoteReference"/>
        </w:rPr>
        <w:footnoteRef/>
      </w:r>
      <w:r>
        <w:t xml:space="preserve">  </w:t>
      </w:r>
      <w:r>
        <w:t xml:space="preserve">Pieejama šeit:   </w:t>
      </w:r>
      <w:hyperlink r:id="rId4" w:history="1">
        <w:r w:rsidRPr="007E10C9">
          <w:rPr>
            <w:rStyle w:val="Hyperlink"/>
          </w:rPr>
          <w:t>https://eur-lex.europa.eu/legal-content/LV/TXT/?uri=celex%3A32024R1309</w:t>
        </w:r>
      </w:hyperlink>
    </w:p>
  </w:footnote>
  <w:footnote w:id="6">
    <w:p w14:paraId="37700DA1" w14:textId="0FFBA0C9" w:rsidR="004E541A" w:rsidRDefault="004E541A">
      <w:pPr>
        <w:pStyle w:val="FootnoteText"/>
      </w:pPr>
      <w:r>
        <w:rPr>
          <w:rStyle w:val="FootnoteReference"/>
        </w:rPr>
        <w:footnoteRef/>
      </w:r>
      <w:r>
        <w:t xml:space="preserve">  </w:t>
      </w:r>
      <w:r>
        <w:t>Atbilstoši Gigabitu regulas 2. panta 4.</w:t>
      </w:r>
      <w:r w:rsidR="00D713AF">
        <w:t> </w:t>
      </w:r>
      <w:r>
        <w:t xml:space="preserve">punktam  </w:t>
      </w:r>
      <w:r w:rsidRPr="009142C4">
        <w:t>“fiziskā infrastruktūra” ir: a) jebkurš tīkla elements, kas paredzēts citu tīkla elementu izmitināšanai, pats nekļūdams par aktīvu tīkla elementu, piemēram, caurules, masti, kanāli, kontrolakas, kanalizācijas atveres, sadales skapji, antenu iekārtas, torņi un balsti, kā arī ēkas, tostarp to jumti un to fasādes daļas, vai ieejas ēkās un jebkurš cits aktīvs, ieskaitot ielu aprīkojumu, piemēram, apgaismes stabi, ceļazīmes, luksofori, sludinājumu dēļi un ceļu lietošanas maksas iekasēšanas staciju konstrukcijas, kā arī autobusu un tramvaju pieturas un metro un dzelzceļa stacijas</w:t>
      </w:r>
      <w:r>
        <w:t>;</w:t>
      </w:r>
      <w:r w:rsidRPr="009142C4">
        <w:t xml:space="preserve"> b) ja tie nav daļa no tīkla un pieder publiskā sektora struktūrām vai ja tās tos kontrolē: ēkas, tostarp to jumti un to fasādes daļas, vai ieejas ēkās un jebkurš cits aktīvs, ieskaitot ielu aprīkojumu, piemēram, apgaismes stabi, ceļazīmes, luksofori, sludinājumu dēļi, ceļu lietošanas maksas iekasēšanas staciju konstrukcijas, autobusu un tramvaju pieturas un metro un dzelzceļa stacijas.</w:t>
      </w:r>
    </w:p>
  </w:footnote>
  <w:footnote w:id="7">
    <w:p w14:paraId="6063C94A" w14:textId="71D2ABB0" w:rsidR="00437344" w:rsidRDefault="00437344">
      <w:pPr>
        <w:pStyle w:val="FootnoteText"/>
      </w:pPr>
      <w:r w:rsidRPr="00437344">
        <w:rPr>
          <w:rStyle w:val="FootnoteReference"/>
        </w:rPr>
        <w:footnoteRef/>
      </w:r>
      <w:r w:rsidRPr="00437344">
        <w:t xml:space="preserve"> </w:t>
      </w:r>
      <w:r w:rsidR="009A229B">
        <w:t>Pieejama šeit</w:t>
      </w:r>
      <w:r w:rsidRPr="00437344">
        <w:t xml:space="preserve">: </w:t>
      </w:r>
      <w:hyperlink r:id="rId5" w:history="1">
        <w:r w:rsidRPr="00437344">
          <w:rPr>
            <w:rStyle w:val="Hyperlink"/>
          </w:rPr>
          <w:t>https://eur-lex.europa.eu/eli/reg_impl/2020/1070/oj/?locale=LV</w:t>
        </w:r>
      </w:hyperlink>
    </w:p>
  </w:footnote>
  <w:footnote w:id="8">
    <w:p w14:paraId="2BF439E5" w14:textId="3A117D31" w:rsidR="00BB35ED" w:rsidRDefault="00BB35ED">
      <w:pPr>
        <w:pStyle w:val="FootnoteText"/>
      </w:pPr>
      <w:r>
        <w:rPr>
          <w:rStyle w:val="FootnoteReference"/>
        </w:rPr>
        <w:footnoteRef/>
      </w:r>
      <w:r w:rsidR="009A229B">
        <w:t xml:space="preserve"> </w:t>
      </w:r>
      <w:r w:rsidR="009A229B">
        <w:t>Pieejami šeit:</w:t>
      </w:r>
      <w:r>
        <w:t xml:space="preserve"> </w:t>
      </w:r>
      <w:hyperlink r:id="rId6" w:history="1">
        <w:r w:rsidRPr="00CB61C1">
          <w:rPr>
            <w:rStyle w:val="Hyperlink"/>
          </w:rPr>
          <w:t>https://likumi.lv/ta/id/340434-radiofrekvences-pieskiruma-lietosanas-atlauju-noteikumi</w:t>
        </w:r>
      </w:hyperlink>
    </w:p>
  </w:footnote>
  <w:footnote w:id="9">
    <w:p w14:paraId="4AA59241" w14:textId="620F0621" w:rsidR="00895BF2" w:rsidRDefault="00895BF2">
      <w:pPr>
        <w:pStyle w:val="FootnoteText"/>
      </w:pPr>
      <w:r>
        <w:rPr>
          <w:rStyle w:val="FootnoteReference"/>
        </w:rPr>
        <w:footnoteRef/>
      </w:r>
      <w:r>
        <w:t xml:space="preserve"> </w:t>
      </w:r>
      <w:r w:rsidR="009A229B">
        <w:t xml:space="preserve">Pieejama šeit: </w:t>
      </w:r>
      <w:hyperlink r:id="rId7" w:history="1">
        <w:r w:rsidR="00437344" w:rsidRPr="00437344">
          <w:rPr>
            <w:rStyle w:val="Hyperlink"/>
          </w:rPr>
          <w:t>https://eur-lex.europa.eu/eli/reg_impl/2020/1070/oj/?locale=LV</w:t>
        </w:r>
      </w:hyperlink>
    </w:p>
  </w:footnote>
  <w:footnote w:id="10">
    <w:p w14:paraId="422B87A4" w14:textId="77777777" w:rsidR="00A57141" w:rsidRDefault="00A57141" w:rsidP="00A57141">
      <w:pPr>
        <w:pStyle w:val="FootnoteText"/>
      </w:pPr>
      <w:r>
        <w:rPr>
          <w:rStyle w:val="FootnoteReference"/>
        </w:rPr>
        <w:footnoteRef/>
      </w:r>
      <w:r>
        <w:t xml:space="preserve"> </w:t>
      </w:r>
      <w:hyperlink r:id="rId8" w:history="1">
        <w:r w:rsidRPr="002C2557">
          <w:rPr>
            <w:rStyle w:val="Hyperlink"/>
          </w:rPr>
          <w:t>https://eur-lex.europa.eu/eli/dir/2018/1972/oj/?locale=LV</w:t>
        </w:r>
      </w:hyperlink>
    </w:p>
    <w:p w14:paraId="1AFF63BD" w14:textId="77777777" w:rsidR="00A57141" w:rsidRDefault="00A57141" w:rsidP="00A57141">
      <w:pPr>
        <w:pStyle w:val="FootnoteText"/>
      </w:pPr>
    </w:p>
  </w:footnote>
  <w:footnote w:id="11">
    <w:p w14:paraId="72EC8996" w14:textId="77777777" w:rsidR="0063414A" w:rsidRDefault="0063414A" w:rsidP="0063414A">
      <w:pPr>
        <w:pStyle w:val="FootnoteText"/>
      </w:pPr>
      <w:r>
        <w:rPr>
          <w:rStyle w:val="FootnoteReference"/>
        </w:rPr>
        <w:footnoteRef/>
      </w:r>
      <w:r>
        <w:t xml:space="preserve"> </w:t>
      </w:r>
      <w:r w:rsidRPr="00EC5F6C">
        <w:t>Ministru kabineta 2023. gada 10. janvāra noteikum</w:t>
      </w:r>
      <w:r>
        <w:t>u</w:t>
      </w:r>
      <w:r w:rsidRPr="00EC5F6C">
        <w:t xml:space="preserve"> Nr. 3 “Nacionālais radiofrekvenču plāns”</w:t>
      </w:r>
      <w:r>
        <w:t xml:space="preserve"> 3. pielikums</w:t>
      </w:r>
    </w:p>
  </w:footnote>
  <w:footnote w:id="12">
    <w:p w14:paraId="6888EF5C" w14:textId="77777777" w:rsidR="004305C2" w:rsidRDefault="004305C2" w:rsidP="004305C2">
      <w:pPr>
        <w:pStyle w:val="FootnoteText"/>
      </w:pPr>
      <w:r>
        <w:rPr>
          <w:rStyle w:val="FootnoteReference"/>
        </w:rPr>
        <w:footnoteRef/>
      </w:r>
      <w:r>
        <w:t xml:space="preserve"> </w:t>
      </w:r>
      <w:hyperlink r:id="rId9" w:history="1">
        <w:r w:rsidRPr="006D1075">
          <w:rPr>
            <w:rStyle w:val="Hyperlink"/>
          </w:rPr>
          <w:t>https://www.gsma.com/solutions-and-impact/connectivity-for-good/public-policy/wp-content/uploads/2016/12/GSMA_Small_Cell_Deployment_Booklet.pdf</w:t>
        </w:r>
      </w:hyperlink>
    </w:p>
    <w:p w14:paraId="685396C7" w14:textId="77777777" w:rsidR="004305C2" w:rsidRDefault="004305C2" w:rsidP="004305C2">
      <w:pPr>
        <w:pStyle w:val="FootnoteText"/>
      </w:pPr>
    </w:p>
  </w:footnote>
  <w:footnote w:id="13">
    <w:p w14:paraId="27C1FD8F" w14:textId="45F39073" w:rsidR="009142C4" w:rsidRDefault="009142C4">
      <w:pPr>
        <w:pStyle w:val="FootnoteText"/>
      </w:pPr>
      <w:r>
        <w:rPr>
          <w:rStyle w:val="FootnoteReference"/>
        </w:rPr>
        <w:footnoteRef/>
      </w:r>
      <w:r>
        <w:t xml:space="preserve"> </w:t>
      </w:r>
      <w:r>
        <w:t>Atbilstoši Gigabitu regulas</w:t>
      </w:r>
      <w:r w:rsidR="003C56C3">
        <w:t xml:space="preserve"> 2. panta 4.punktam</w:t>
      </w:r>
      <w:r>
        <w:t xml:space="preserve">  </w:t>
      </w:r>
      <w:r w:rsidRPr="009142C4">
        <w:t>“fiziskā infrastruktūra” ir: a) jebkurš tīkla elements, kas paredzēts citu tīkla elementu izmitināšanai, pats nekļūdams par aktīvu tīkla elementu, piemēram, caurules, masti, kanāli, kontrolakas, kanalizācijas atveres, sadales skapji, antenu iekārtas, torņi un balsti, kā arī ēkas, tostarp to jumti un to fasādes daļas, vai ieejas ēkās un jebkurš cits aktīvs, ieskaitot ielu aprīkojumu, piemēram, apgaismes stabi, ceļazīmes, luksofori, sludinājumu dēļi un ceļu lietošanas maksas iekasēšanas staciju konstrukcijas, kā arī autobusu un tramvaju pieturas un metro un dzelzceļa stacijas</w:t>
      </w:r>
      <w:r>
        <w:t>;</w:t>
      </w:r>
      <w:r w:rsidRPr="009142C4">
        <w:t xml:space="preserve"> b) ja tie nav daļa no tīkla un pieder publiskā sektora struktūrām vai ja tās tos kontrolē: ēkas, tostarp to jumti un to fasādes daļas, vai ieejas ēkās un jebkurš cits aktīvs, ieskaitot ielu aprīkojumu, piemēram, apgaismes stabi, ceļazīmes, luksofori, sludinājumu dēļi, ceļu lietošanas maksas iekasēšanas staciju konstrukcijas, autobusu un tramvaju pieturas un metro un dzelzceļa stacijas.</w:t>
      </w:r>
    </w:p>
  </w:footnote>
  <w:footnote w:id="14">
    <w:p w14:paraId="69CC41E2" w14:textId="77777777" w:rsidR="004305C2" w:rsidRDefault="004305C2" w:rsidP="004305C2">
      <w:pPr>
        <w:pStyle w:val="FootnoteText"/>
      </w:pPr>
      <w:r>
        <w:rPr>
          <w:rStyle w:val="FootnoteReference"/>
        </w:rPr>
        <w:footnoteRef/>
      </w:r>
      <w:r>
        <w:t xml:space="preserve">  </w:t>
      </w:r>
      <w:hyperlink r:id="rId10" w:history="1">
        <w:r w:rsidRPr="005D6C6D">
          <w:rPr>
            <w:rStyle w:val="Hyperlink"/>
          </w:rPr>
          <w:t>EUR-</w:t>
        </w:r>
        <w:proofErr w:type="spellStart"/>
        <w:r w:rsidRPr="005D6C6D">
          <w:rPr>
            <w:rStyle w:val="Hyperlink"/>
          </w:rPr>
          <w:t>Lex</w:t>
        </w:r>
        <w:proofErr w:type="spellEnd"/>
        <w:r w:rsidRPr="005D6C6D">
          <w:rPr>
            <w:rStyle w:val="Hyperlink"/>
          </w:rPr>
          <w:t xml:space="preserve"> - 02020R1070-20240814 - EN - EUR-</w:t>
        </w:r>
        <w:proofErr w:type="spellStart"/>
        <w:r w:rsidRPr="005D6C6D">
          <w:rPr>
            <w:rStyle w:val="Hyperlink"/>
          </w:rPr>
          <w:t>Lex</w:t>
        </w:r>
        <w:proofErr w:type="spellEnd"/>
      </w:hyperlink>
      <w:r>
        <w:t xml:space="preserve"> </w:t>
      </w:r>
    </w:p>
  </w:footnote>
  <w:footnote w:id="15">
    <w:p w14:paraId="36EE7D87" w14:textId="29656D2A" w:rsidR="003C56C3" w:rsidRDefault="003C56C3">
      <w:pPr>
        <w:pStyle w:val="FootnoteText"/>
      </w:pPr>
      <w:r>
        <w:rPr>
          <w:rStyle w:val="FootnoteReference"/>
        </w:rPr>
        <w:footnoteRef/>
      </w:r>
      <w:r>
        <w:t xml:space="preserve"> </w:t>
      </w:r>
      <w:r w:rsidR="0049642C">
        <w:t>Gigabitu regulas</w:t>
      </w:r>
      <w:r w:rsidR="00C242A9">
        <w:t xml:space="preserve"> 2.panta 4.punktā noteiktās f</w:t>
      </w:r>
      <w:r>
        <w:t>iziskās infrastruktūras īpašnieks vai pārvaldītājs</w:t>
      </w:r>
    </w:p>
  </w:footnote>
  <w:footnote w:id="16">
    <w:p w14:paraId="5C086307" w14:textId="6DE50B61" w:rsidR="004305C2" w:rsidRDefault="004305C2" w:rsidP="004305C2">
      <w:pPr>
        <w:pStyle w:val="FootnoteText"/>
      </w:pPr>
      <w:r>
        <w:rPr>
          <w:rStyle w:val="FootnoteReference"/>
        </w:rPr>
        <w:footnoteRef/>
      </w:r>
      <w:r>
        <w:t xml:space="preserve"> </w:t>
      </w:r>
      <w:hyperlink r:id="rId11" w:history="1">
        <w:r w:rsidRPr="00B50EC3">
          <w:rPr>
            <w:rStyle w:val="Hyperlink"/>
          </w:rPr>
          <w:t>Regula - ES - 2024/1309 - LV - EUR-</w:t>
        </w:r>
        <w:proofErr w:type="spellStart"/>
        <w:r w:rsidRPr="00B50EC3">
          <w:rPr>
            <w:rStyle w:val="Hyperlink"/>
          </w:rPr>
          <w:t>Lex</w:t>
        </w:r>
        <w:proofErr w:type="spellEnd"/>
      </w:hyperlink>
      <w:r>
        <w:t xml:space="preserve"> 3.p</w:t>
      </w:r>
      <w:r w:rsidR="00C242A9">
        <w:t>anta</w:t>
      </w:r>
      <w:r>
        <w:t xml:space="preserve"> 10.d. </w:t>
      </w:r>
    </w:p>
  </w:footnote>
  <w:footnote w:id="17">
    <w:p w14:paraId="48CBDAE9" w14:textId="77777777" w:rsidR="004305C2" w:rsidRDefault="004305C2" w:rsidP="004305C2">
      <w:pPr>
        <w:pStyle w:val="FootnoteText"/>
      </w:pPr>
      <w:r>
        <w:rPr>
          <w:rStyle w:val="FootnoteReference"/>
        </w:rPr>
        <w:footnoteRef/>
      </w:r>
      <w:r>
        <w:t xml:space="preserve"> </w:t>
      </w:r>
      <w:hyperlink r:id="rId12" w:history="1">
        <w:r w:rsidRPr="00B50EC3">
          <w:rPr>
            <w:rStyle w:val="Hyperlink"/>
          </w:rPr>
          <w:t>Regula - ES - 2024/1309 - LV - EUR-</w:t>
        </w:r>
        <w:proofErr w:type="spellStart"/>
        <w:r w:rsidRPr="00B50EC3">
          <w:rPr>
            <w:rStyle w:val="Hyperlink"/>
          </w:rPr>
          <w:t>Lex</w:t>
        </w:r>
        <w:proofErr w:type="spellEnd"/>
      </w:hyperlink>
      <w:r>
        <w:t xml:space="preserve"> 3.panta 1.d. </w:t>
      </w:r>
    </w:p>
  </w:footnote>
  <w:footnote w:id="18">
    <w:p w14:paraId="4F99EE8A" w14:textId="77777777" w:rsidR="004305C2" w:rsidRDefault="004305C2" w:rsidP="004305C2">
      <w:pPr>
        <w:pStyle w:val="FootnoteText"/>
      </w:pPr>
      <w:r>
        <w:rPr>
          <w:rStyle w:val="FootnoteReference"/>
        </w:rPr>
        <w:footnoteRef/>
      </w:r>
      <w:r>
        <w:t xml:space="preserve"> </w:t>
      </w:r>
      <w:hyperlink r:id="rId13" w:history="1">
        <w:r w:rsidRPr="00B51F14">
          <w:rPr>
            <w:rStyle w:val="Hyperlink"/>
          </w:rPr>
          <w:t>Regula - ES - 2024/1309 - LV - EUR-</w:t>
        </w:r>
        <w:proofErr w:type="spellStart"/>
        <w:r w:rsidRPr="00B51F14">
          <w:rPr>
            <w:rStyle w:val="Hyperlink"/>
          </w:rPr>
          <w:t>Lex</w:t>
        </w:r>
        <w:proofErr w:type="spellEnd"/>
      </w:hyperlink>
      <w:r>
        <w:t xml:space="preserve"> 3.panta 7.d. </w:t>
      </w:r>
    </w:p>
  </w:footnote>
  <w:footnote w:id="19">
    <w:p w14:paraId="5F61126D" w14:textId="316CF694" w:rsidR="004305C2" w:rsidRDefault="004305C2" w:rsidP="004305C2">
      <w:pPr>
        <w:pStyle w:val="FootnoteText"/>
      </w:pPr>
      <w:r>
        <w:rPr>
          <w:rStyle w:val="FootnoteReference"/>
        </w:rPr>
        <w:footnoteRef/>
      </w:r>
      <w:r>
        <w:t xml:space="preserve"> </w:t>
      </w:r>
      <w:hyperlink r:id="rId14" w:history="1">
        <w:r>
          <w:rPr>
            <w:rStyle w:val="Hyperlink"/>
          </w:rPr>
          <w:t>Regula - ES - 2024/1309 - LV - EUR-</w:t>
        </w:r>
        <w:proofErr w:type="spellStart"/>
        <w:r>
          <w:rPr>
            <w:rStyle w:val="Hyperlink"/>
          </w:rPr>
          <w:t>Lex</w:t>
        </w:r>
        <w:proofErr w:type="spellEnd"/>
      </w:hyperlink>
      <w:r>
        <w:t xml:space="preserve"> 3.p</w:t>
      </w:r>
      <w:r w:rsidR="00C242A9">
        <w:t xml:space="preserve">anta </w:t>
      </w:r>
      <w:r>
        <w:t>5.p.</w:t>
      </w:r>
    </w:p>
  </w:footnote>
  <w:footnote w:id="20">
    <w:p w14:paraId="2A0CC7D3" w14:textId="77777777" w:rsidR="004305C2" w:rsidRDefault="004305C2" w:rsidP="004305C2">
      <w:pPr>
        <w:pStyle w:val="FootnoteText"/>
      </w:pPr>
      <w:r>
        <w:rPr>
          <w:rStyle w:val="FootnoteReference"/>
        </w:rPr>
        <w:footnoteRef/>
      </w:r>
      <w:r>
        <w:t xml:space="preserve"> </w:t>
      </w:r>
      <w:hyperlink r:id="rId15" w:history="1">
        <w:r w:rsidRPr="000E6255">
          <w:rPr>
            <w:rStyle w:val="Hyperlink"/>
          </w:rPr>
          <w:t>Regula - ES - 2024/1309 - LV - EUR-</w:t>
        </w:r>
        <w:proofErr w:type="spellStart"/>
        <w:r w:rsidRPr="000E6255">
          <w:rPr>
            <w:rStyle w:val="Hyperlink"/>
          </w:rPr>
          <w:t>Lex</w:t>
        </w:r>
        <w:proofErr w:type="spellEnd"/>
      </w:hyperlink>
      <w:r w:rsidRPr="000E6255">
        <w:t xml:space="preserve"> </w:t>
      </w:r>
      <w:r>
        <w:t xml:space="preserve">3.p.7.p. </w:t>
      </w:r>
    </w:p>
  </w:footnote>
  <w:footnote w:id="21">
    <w:p w14:paraId="438028DC" w14:textId="77777777" w:rsidR="00F50197" w:rsidRDefault="00F50197" w:rsidP="00F50197">
      <w:pPr>
        <w:pStyle w:val="FootnoteText"/>
      </w:pPr>
      <w:r>
        <w:rPr>
          <w:rStyle w:val="FootnoteReference"/>
        </w:rPr>
        <w:footnoteRef/>
      </w:r>
      <w:r>
        <w:t xml:space="preserve"> </w:t>
      </w:r>
      <w:hyperlink r:id="rId16" w:history="1">
        <w:r w:rsidRPr="00341D35">
          <w:rPr>
            <w:rStyle w:val="Hyperlink"/>
          </w:rPr>
          <w:t>https://digital-strategy.ec.europa.eu/en/policies/5g-observatory-2025</w:t>
        </w:r>
      </w:hyperlink>
    </w:p>
    <w:p w14:paraId="26AC58B7" w14:textId="77777777" w:rsidR="00F50197" w:rsidRDefault="00F50197" w:rsidP="00F50197">
      <w:pPr>
        <w:pStyle w:val="FootnoteText"/>
      </w:pPr>
    </w:p>
  </w:footnote>
  <w:footnote w:id="22">
    <w:p w14:paraId="4145F404" w14:textId="2950A37F" w:rsidR="007C7E9E" w:rsidRDefault="007C7E9E" w:rsidP="007C7E9E">
      <w:pPr>
        <w:pStyle w:val="FootnoteText"/>
      </w:pPr>
      <w:r>
        <w:rPr>
          <w:rStyle w:val="FootnoteReference"/>
        </w:rPr>
        <w:footnoteRef/>
      </w:r>
      <w:r>
        <w:t xml:space="preserve"> </w:t>
      </w:r>
      <w:r>
        <w:t>Ministru kabineta 2025. gada 22. jūlija noteikum</w:t>
      </w:r>
      <w:r w:rsidR="00611D3A">
        <w:t>u</w:t>
      </w:r>
      <w:r>
        <w:t xml:space="preserve"> Nr. 451 “Patvertņu būvnormatīvs LBN 210-25” </w:t>
      </w:r>
      <w:r w:rsidR="00611D3A" w:rsidRPr="00611D3A">
        <w:t>21.</w:t>
      </w:r>
      <w:r w:rsidR="00611D3A">
        <w:t>punkts nosaka, ka p</w:t>
      </w:r>
      <w:r w:rsidR="00611D3A" w:rsidRPr="00611D3A">
        <w:t>atvertnē izveido tehniskos risinājumus, kas nodrošina iespēju pieslēgties pie publiskajiem elektronisko sakaru tīkliem.</w:t>
      </w:r>
    </w:p>
  </w:footnote>
  <w:footnote w:id="23">
    <w:p w14:paraId="71F549FB" w14:textId="77777777" w:rsidR="004305C2" w:rsidRDefault="004305C2" w:rsidP="004305C2">
      <w:pPr>
        <w:pStyle w:val="FootnoteText"/>
      </w:pPr>
      <w:r>
        <w:rPr>
          <w:rStyle w:val="FootnoteReference"/>
        </w:rPr>
        <w:footnoteRef/>
      </w:r>
      <w:r>
        <w:t xml:space="preserve"> </w:t>
      </w:r>
      <w:hyperlink r:id="rId17" w:history="1">
        <w:r w:rsidRPr="00264CBC">
          <w:rPr>
            <w:rStyle w:val="Hyperlink"/>
          </w:rPr>
          <w:t>https://www.vi.gov.lv/lv/mobilie-telefoni-un-veseliba</w:t>
        </w:r>
      </w:hyperlink>
    </w:p>
    <w:p w14:paraId="6A240FBA" w14:textId="77777777" w:rsidR="004305C2" w:rsidRDefault="004305C2" w:rsidP="004305C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781292"/>
      <w:docPartObj>
        <w:docPartGallery w:val="Page Numbers (Top of Page)"/>
        <w:docPartUnique/>
      </w:docPartObj>
    </w:sdtPr>
    <w:sdtEndPr>
      <w:rPr>
        <w:noProof/>
      </w:rPr>
    </w:sdtEndPr>
    <w:sdtContent>
      <w:p w14:paraId="52820087" w14:textId="5AFEC74D" w:rsidR="004D4082" w:rsidRDefault="004D408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A19D3B" w14:textId="77777777" w:rsidR="004D4082" w:rsidRDefault="004D4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C175" w14:textId="55FE7FDF" w:rsidR="00E40F42" w:rsidRDefault="00E40F42" w:rsidP="00E40F4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20C"/>
    <w:multiLevelType w:val="hybridMultilevel"/>
    <w:tmpl w:val="589A6288"/>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C9295A"/>
    <w:multiLevelType w:val="multilevel"/>
    <w:tmpl w:val="4AF62EC8"/>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4E0456"/>
    <w:multiLevelType w:val="hybridMultilevel"/>
    <w:tmpl w:val="2F505458"/>
    <w:lvl w:ilvl="0" w:tplc="A122475E">
      <w:start w:val="1"/>
      <w:numFmt w:val="bullet"/>
      <w:lvlText w:val="-"/>
      <w:lvlJc w:val="left"/>
      <w:pPr>
        <w:ind w:left="720" w:hanging="360"/>
      </w:pPr>
      <w:rPr>
        <w:rFonts w:ascii="Times New Roman" w:eastAsiaTheme="minorHAnsi" w:hAnsi="Times New Roman" w:cs="Times New Roman"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5A100D6"/>
    <w:multiLevelType w:val="hybridMultilevel"/>
    <w:tmpl w:val="787CBDD0"/>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D82463"/>
    <w:multiLevelType w:val="multilevel"/>
    <w:tmpl w:val="5CB6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74D97"/>
    <w:multiLevelType w:val="multilevel"/>
    <w:tmpl w:val="BDA2A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1EA43E30"/>
    <w:multiLevelType w:val="hybridMultilevel"/>
    <w:tmpl w:val="9B5480E8"/>
    <w:lvl w:ilvl="0" w:tplc="F2F8ADCA">
      <w:start w:val="1"/>
      <w:numFmt w:val="decimal"/>
      <w:lvlText w:val="%1)"/>
      <w:lvlJc w:val="left"/>
      <w:pPr>
        <w:ind w:left="1080" w:hanging="360"/>
      </w:pPr>
      <w:rPr>
        <w:rFonts w:hint="default"/>
      </w:rPr>
    </w:lvl>
    <w:lvl w:ilvl="1" w:tplc="CD4EAE9E" w:tentative="1">
      <w:start w:val="1"/>
      <w:numFmt w:val="lowerLetter"/>
      <w:lvlText w:val="%2."/>
      <w:lvlJc w:val="left"/>
      <w:pPr>
        <w:ind w:left="1800" w:hanging="360"/>
      </w:pPr>
    </w:lvl>
    <w:lvl w:ilvl="2" w:tplc="7E4EF9BC" w:tentative="1">
      <w:start w:val="1"/>
      <w:numFmt w:val="lowerRoman"/>
      <w:lvlText w:val="%3."/>
      <w:lvlJc w:val="right"/>
      <w:pPr>
        <w:ind w:left="2520" w:hanging="180"/>
      </w:pPr>
    </w:lvl>
    <w:lvl w:ilvl="3" w:tplc="2C460274" w:tentative="1">
      <w:start w:val="1"/>
      <w:numFmt w:val="decimal"/>
      <w:lvlText w:val="%4."/>
      <w:lvlJc w:val="left"/>
      <w:pPr>
        <w:ind w:left="3240" w:hanging="360"/>
      </w:pPr>
    </w:lvl>
    <w:lvl w:ilvl="4" w:tplc="54E67200" w:tentative="1">
      <w:start w:val="1"/>
      <w:numFmt w:val="lowerLetter"/>
      <w:lvlText w:val="%5."/>
      <w:lvlJc w:val="left"/>
      <w:pPr>
        <w:ind w:left="3960" w:hanging="360"/>
      </w:pPr>
    </w:lvl>
    <w:lvl w:ilvl="5" w:tplc="E9201750" w:tentative="1">
      <w:start w:val="1"/>
      <w:numFmt w:val="lowerRoman"/>
      <w:lvlText w:val="%6."/>
      <w:lvlJc w:val="right"/>
      <w:pPr>
        <w:ind w:left="4680" w:hanging="180"/>
      </w:pPr>
    </w:lvl>
    <w:lvl w:ilvl="6" w:tplc="D262739E" w:tentative="1">
      <w:start w:val="1"/>
      <w:numFmt w:val="decimal"/>
      <w:lvlText w:val="%7."/>
      <w:lvlJc w:val="left"/>
      <w:pPr>
        <w:ind w:left="5400" w:hanging="360"/>
      </w:pPr>
    </w:lvl>
    <w:lvl w:ilvl="7" w:tplc="DFBCAF46" w:tentative="1">
      <w:start w:val="1"/>
      <w:numFmt w:val="lowerLetter"/>
      <w:lvlText w:val="%8."/>
      <w:lvlJc w:val="left"/>
      <w:pPr>
        <w:ind w:left="6120" w:hanging="360"/>
      </w:pPr>
    </w:lvl>
    <w:lvl w:ilvl="8" w:tplc="81840CDC" w:tentative="1">
      <w:start w:val="1"/>
      <w:numFmt w:val="lowerRoman"/>
      <w:lvlText w:val="%9."/>
      <w:lvlJc w:val="right"/>
      <w:pPr>
        <w:ind w:left="6840" w:hanging="180"/>
      </w:pPr>
    </w:lvl>
  </w:abstractNum>
  <w:abstractNum w:abstractNumId="7" w15:restartNumberingAfterBreak="0">
    <w:nsid w:val="1FA40E01"/>
    <w:multiLevelType w:val="multilevel"/>
    <w:tmpl w:val="E128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A4FA1"/>
    <w:multiLevelType w:val="multilevel"/>
    <w:tmpl w:val="27786FA6"/>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5AD25C6"/>
    <w:multiLevelType w:val="hybridMultilevel"/>
    <w:tmpl w:val="FD0C73FE"/>
    <w:lvl w:ilvl="0" w:tplc="022242E0">
      <w:start w:val="1"/>
      <w:numFmt w:val="lowerRoman"/>
      <w:lvlText w:val="%1)"/>
      <w:lvlJc w:val="left"/>
      <w:pPr>
        <w:ind w:left="1440" w:hanging="72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2E647535"/>
    <w:multiLevelType w:val="hybridMultilevel"/>
    <w:tmpl w:val="64907A8A"/>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1" w15:restartNumberingAfterBreak="0">
    <w:nsid w:val="358E3519"/>
    <w:multiLevelType w:val="hybridMultilevel"/>
    <w:tmpl w:val="190C5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A77BC"/>
    <w:multiLevelType w:val="hybridMultilevel"/>
    <w:tmpl w:val="67DE0F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3BA14871"/>
    <w:multiLevelType w:val="multilevel"/>
    <w:tmpl w:val="AF4A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396AF2"/>
    <w:multiLevelType w:val="multilevel"/>
    <w:tmpl w:val="3958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A03EDF"/>
    <w:multiLevelType w:val="hybridMultilevel"/>
    <w:tmpl w:val="D604D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FD166CC"/>
    <w:multiLevelType w:val="multilevel"/>
    <w:tmpl w:val="C0A2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952F24"/>
    <w:multiLevelType w:val="multilevel"/>
    <w:tmpl w:val="09C069F0"/>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A1D06A6"/>
    <w:multiLevelType w:val="hybridMultilevel"/>
    <w:tmpl w:val="4BDCAA6C"/>
    <w:lvl w:ilvl="0" w:tplc="65AE53F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A4906F5"/>
    <w:multiLevelType w:val="hybridMultilevel"/>
    <w:tmpl w:val="FC6EBC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2D75424"/>
    <w:multiLevelType w:val="multilevel"/>
    <w:tmpl w:val="66F4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3A6074"/>
    <w:multiLevelType w:val="multilevel"/>
    <w:tmpl w:val="3750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6D26B0"/>
    <w:multiLevelType w:val="multilevel"/>
    <w:tmpl w:val="BDA2A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3" w15:restartNumberingAfterBreak="0">
    <w:nsid w:val="5BA93E2F"/>
    <w:multiLevelType w:val="multilevel"/>
    <w:tmpl w:val="AC5845D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EB7621D"/>
    <w:multiLevelType w:val="hybridMultilevel"/>
    <w:tmpl w:val="5D669476"/>
    <w:lvl w:ilvl="0" w:tplc="04260001">
      <w:start w:val="1"/>
      <w:numFmt w:val="bullet"/>
      <w:lvlText w:val=""/>
      <w:lvlJc w:val="left"/>
      <w:pPr>
        <w:ind w:left="960" w:hanging="360"/>
      </w:pPr>
      <w:rPr>
        <w:rFonts w:ascii="Symbol" w:hAnsi="Symbol" w:hint="default"/>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25" w15:restartNumberingAfterBreak="0">
    <w:nsid w:val="63E93627"/>
    <w:multiLevelType w:val="multilevel"/>
    <w:tmpl w:val="7660DB6E"/>
    <w:lvl w:ilvl="0">
      <w:start w:val="1"/>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6" w15:restartNumberingAfterBreak="0">
    <w:nsid w:val="64CF1304"/>
    <w:multiLevelType w:val="multilevel"/>
    <w:tmpl w:val="BDA2A6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7" w15:restartNumberingAfterBreak="0">
    <w:nsid w:val="726561FF"/>
    <w:multiLevelType w:val="hybridMultilevel"/>
    <w:tmpl w:val="00228E5C"/>
    <w:lvl w:ilvl="0" w:tplc="9B520ECC">
      <w:start w:val="1"/>
      <w:numFmt w:val="bullet"/>
      <w:lvlText w:val="-"/>
      <w:lvlJc w:val="left"/>
      <w:pPr>
        <w:ind w:left="1440" w:hanging="360"/>
      </w:pPr>
      <w:rPr>
        <w:rFonts w:ascii="Times New Roman" w:eastAsiaTheme="minorHAnsi" w:hAnsi="Times New Roman" w:cs="Times New Roman" w:hint="default"/>
        <w:i w:val="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74967C13"/>
    <w:multiLevelType w:val="hybridMultilevel"/>
    <w:tmpl w:val="6A64DC8A"/>
    <w:lvl w:ilvl="0" w:tplc="052CB9AC">
      <w:start w:val="1"/>
      <w:numFmt w:val="bullet"/>
      <w:lvlText w:val="-"/>
      <w:lvlJc w:val="left"/>
      <w:pPr>
        <w:ind w:left="720" w:hanging="360"/>
      </w:pPr>
      <w:rPr>
        <w:rFonts w:ascii="Times New Roman" w:eastAsia="Apto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5F639BC"/>
    <w:multiLevelType w:val="hybridMultilevel"/>
    <w:tmpl w:val="420E8874"/>
    <w:lvl w:ilvl="0" w:tplc="2DC8B60A">
      <w:start w:val="1"/>
      <w:numFmt w:val="decimal"/>
      <w:lvlText w:val="%1)"/>
      <w:lvlJc w:val="left"/>
      <w:pPr>
        <w:ind w:left="720" w:hanging="360"/>
      </w:pPr>
    </w:lvl>
    <w:lvl w:ilvl="1" w:tplc="201086AC">
      <w:start w:val="1"/>
      <w:numFmt w:val="decimal"/>
      <w:lvlText w:val="%2)"/>
      <w:lvlJc w:val="left"/>
      <w:pPr>
        <w:ind w:left="720" w:hanging="360"/>
      </w:pPr>
    </w:lvl>
    <w:lvl w:ilvl="2" w:tplc="F3FCB698">
      <w:start w:val="1"/>
      <w:numFmt w:val="decimal"/>
      <w:lvlText w:val="%3)"/>
      <w:lvlJc w:val="left"/>
      <w:pPr>
        <w:ind w:left="720" w:hanging="360"/>
      </w:pPr>
    </w:lvl>
    <w:lvl w:ilvl="3" w:tplc="66C63814">
      <w:start w:val="1"/>
      <w:numFmt w:val="decimal"/>
      <w:lvlText w:val="%4)"/>
      <w:lvlJc w:val="left"/>
      <w:pPr>
        <w:ind w:left="720" w:hanging="360"/>
      </w:pPr>
    </w:lvl>
    <w:lvl w:ilvl="4" w:tplc="CCFC7002">
      <w:start w:val="1"/>
      <w:numFmt w:val="decimal"/>
      <w:lvlText w:val="%5)"/>
      <w:lvlJc w:val="left"/>
      <w:pPr>
        <w:ind w:left="720" w:hanging="360"/>
      </w:pPr>
    </w:lvl>
    <w:lvl w:ilvl="5" w:tplc="83665490">
      <w:start w:val="1"/>
      <w:numFmt w:val="decimal"/>
      <w:lvlText w:val="%6)"/>
      <w:lvlJc w:val="left"/>
      <w:pPr>
        <w:ind w:left="720" w:hanging="360"/>
      </w:pPr>
    </w:lvl>
    <w:lvl w:ilvl="6" w:tplc="9C9A5448">
      <w:start w:val="1"/>
      <w:numFmt w:val="decimal"/>
      <w:lvlText w:val="%7)"/>
      <w:lvlJc w:val="left"/>
      <w:pPr>
        <w:ind w:left="720" w:hanging="360"/>
      </w:pPr>
    </w:lvl>
    <w:lvl w:ilvl="7" w:tplc="A9385B90">
      <w:start w:val="1"/>
      <w:numFmt w:val="decimal"/>
      <w:lvlText w:val="%8)"/>
      <w:lvlJc w:val="left"/>
      <w:pPr>
        <w:ind w:left="720" w:hanging="360"/>
      </w:pPr>
    </w:lvl>
    <w:lvl w:ilvl="8" w:tplc="417E0FD8">
      <w:start w:val="1"/>
      <w:numFmt w:val="decimal"/>
      <w:lvlText w:val="%9)"/>
      <w:lvlJc w:val="left"/>
      <w:pPr>
        <w:ind w:left="720" w:hanging="360"/>
      </w:pPr>
    </w:lvl>
  </w:abstractNum>
  <w:abstractNum w:abstractNumId="30" w15:restartNumberingAfterBreak="0">
    <w:nsid w:val="7A0B4BEE"/>
    <w:multiLevelType w:val="multilevel"/>
    <w:tmpl w:val="09C069F0"/>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CF765C4"/>
    <w:multiLevelType w:val="hybridMultilevel"/>
    <w:tmpl w:val="7D0009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0661637">
    <w:abstractNumId w:val="17"/>
  </w:num>
  <w:num w:numId="2" w16cid:durableId="1198391689">
    <w:abstractNumId w:val="13"/>
  </w:num>
  <w:num w:numId="3" w16cid:durableId="2084912780">
    <w:abstractNumId w:val="4"/>
  </w:num>
  <w:num w:numId="4" w16cid:durableId="1345089210">
    <w:abstractNumId w:val="14"/>
  </w:num>
  <w:num w:numId="5" w16cid:durableId="1675573242">
    <w:abstractNumId w:val="7"/>
  </w:num>
  <w:num w:numId="6" w16cid:durableId="697509251">
    <w:abstractNumId w:val="24"/>
  </w:num>
  <w:num w:numId="7" w16cid:durableId="585917952">
    <w:abstractNumId w:val="6"/>
  </w:num>
  <w:num w:numId="8" w16cid:durableId="1211770804">
    <w:abstractNumId w:val="8"/>
  </w:num>
  <w:num w:numId="9" w16cid:durableId="132260704">
    <w:abstractNumId w:val="29"/>
  </w:num>
  <w:num w:numId="10" w16cid:durableId="1371297172">
    <w:abstractNumId w:val="27"/>
  </w:num>
  <w:num w:numId="11" w16cid:durableId="2046442871">
    <w:abstractNumId w:val="2"/>
  </w:num>
  <w:num w:numId="12" w16cid:durableId="451097931">
    <w:abstractNumId w:val="23"/>
  </w:num>
  <w:num w:numId="13" w16cid:durableId="1275821060">
    <w:abstractNumId w:val="25"/>
  </w:num>
  <w:num w:numId="14" w16cid:durableId="83116358">
    <w:abstractNumId w:val="1"/>
  </w:num>
  <w:num w:numId="15" w16cid:durableId="326789010">
    <w:abstractNumId w:val="11"/>
  </w:num>
  <w:num w:numId="16" w16cid:durableId="626083839">
    <w:abstractNumId w:val="18"/>
  </w:num>
  <w:num w:numId="17" w16cid:durableId="204222238">
    <w:abstractNumId w:val="21"/>
  </w:num>
  <w:num w:numId="18" w16cid:durableId="830215567">
    <w:abstractNumId w:val="20"/>
  </w:num>
  <w:num w:numId="19" w16cid:durableId="36976284">
    <w:abstractNumId w:val="31"/>
  </w:num>
  <w:num w:numId="20" w16cid:durableId="83301490">
    <w:abstractNumId w:val="19"/>
  </w:num>
  <w:num w:numId="21" w16cid:durableId="484707493">
    <w:abstractNumId w:val="30"/>
  </w:num>
  <w:num w:numId="22" w16cid:durableId="17660365">
    <w:abstractNumId w:val="28"/>
  </w:num>
  <w:num w:numId="23" w16cid:durableId="1450590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2688218">
    <w:abstractNumId w:val="16"/>
  </w:num>
  <w:num w:numId="25" w16cid:durableId="1591816068">
    <w:abstractNumId w:val="26"/>
  </w:num>
  <w:num w:numId="26" w16cid:durableId="2069911515">
    <w:abstractNumId w:val="3"/>
  </w:num>
  <w:num w:numId="27" w16cid:durableId="626548152">
    <w:abstractNumId w:val="0"/>
  </w:num>
  <w:num w:numId="28" w16cid:durableId="1201211959">
    <w:abstractNumId w:val="5"/>
  </w:num>
  <w:num w:numId="29" w16cid:durableId="9438813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1205465">
    <w:abstractNumId w:val="10"/>
  </w:num>
  <w:num w:numId="31" w16cid:durableId="1625505535">
    <w:abstractNumId w:val="22"/>
  </w:num>
  <w:num w:numId="32" w16cid:durableId="4733302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29"/>
    <w:rsid w:val="00000A79"/>
    <w:rsid w:val="00003014"/>
    <w:rsid w:val="0000359E"/>
    <w:rsid w:val="000048BB"/>
    <w:rsid w:val="000153D4"/>
    <w:rsid w:val="00022DA3"/>
    <w:rsid w:val="000269E5"/>
    <w:rsid w:val="0003766B"/>
    <w:rsid w:val="0004005E"/>
    <w:rsid w:val="00046C60"/>
    <w:rsid w:val="0005108F"/>
    <w:rsid w:val="00052616"/>
    <w:rsid w:val="000534B2"/>
    <w:rsid w:val="00053946"/>
    <w:rsid w:val="00054152"/>
    <w:rsid w:val="00056B55"/>
    <w:rsid w:val="00064C8B"/>
    <w:rsid w:val="00065825"/>
    <w:rsid w:val="0006701F"/>
    <w:rsid w:val="00067A1F"/>
    <w:rsid w:val="00070819"/>
    <w:rsid w:val="00080349"/>
    <w:rsid w:val="00087E8A"/>
    <w:rsid w:val="000A2E90"/>
    <w:rsid w:val="000B0254"/>
    <w:rsid w:val="000B1994"/>
    <w:rsid w:val="000B4041"/>
    <w:rsid w:val="000D212D"/>
    <w:rsid w:val="000D5ED4"/>
    <w:rsid w:val="000E244E"/>
    <w:rsid w:val="000E45E0"/>
    <w:rsid w:val="000E64E4"/>
    <w:rsid w:val="000E664C"/>
    <w:rsid w:val="000F22BB"/>
    <w:rsid w:val="000F32D8"/>
    <w:rsid w:val="000F429D"/>
    <w:rsid w:val="00103145"/>
    <w:rsid w:val="00105037"/>
    <w:rsid w:val="00116B24"/>
    <w:rsid w:val="00117895"/>
    <w:rsid w:val="00120F4E"/>
    <w:rsid w:val="00125586"/>
    <w:rsid w:val="00130C2C"/>
    <w:rsid w:val="0013152E"/>
    <w:rsid w:val="00132138"/>
    <w:rsid w:val="0013348A"/>
    <w:rsid w:val="001337BD"/>
    <w:rsid w:val="001400E7"/>
    <w:rsid w:val="001408F7"/>
    <w:rsid w:val="00140C1E"/>
    <w:rsid w:val="00145890"/>
    <w:rsid w:val="00145A89"/>
    <w:rsid w:val="0015263D"/>
    <w:rsid w:val="00161E72"/>
    <w:rsid w:val="001637C3"/>
    <w:rsid w:val="00166EA5"/>
    <w:rsid w:val="00171B29"/>
    <w:rsid w:val="00176945"/>
    <w:rsid w:val="001857DB"/>
    <w:rsid w:val="0019224C"/>
    <w:rsid w:val="00197701"/>
    <w:rsid w:val="001A4CD1"/>
    <w:rsid w:val="001A73FE"/>
    <w:rsid w:val="001B41C9"/>
    <w:rsid w:val="001B68CE"/>
    <w:rsid w:val="001C20B6"/>
    <w:rsid w:val="001C27C4"/>
    <w:rsid w:val="001D3D7C"/>
    <w:rsid w:val="001E21A6"/>
    <w:rsid w:val="001F3FCF"/>
    <w:rsid w:val="001F60A6"/>
    <w:rsid w:val="00207CBB"/>
    <w:rsid w:val="00210355"/>
    <w:rsid w:val="0021196D"/>
    <w:rsid w:val="002120DC"/>
    <w:rsid w:val="0021688E"/>
    <w:rsid w:val="002256FB"/>
    <w:rsid w:val="00226505"/>
    <w:rsid w:val="00251523"/>
    <w:rsid w:val="00253403"/>
    <w:rsid w:val="00263EEA"/>
    <w:rsid w:val="00273198"/>
    <w:rsid w:val="00273A58"/>
    <w:rsid w:val="00285C66"/>
    <w:rsid w:val="00292F9C"/>
    <w:rsid w:val="0029330F"/>
    <w:rsid w:val="00295285"/>
    <w:rsid w:val="00296E14"/>
    <w:rsid w:val="002A26EC"/>
    <w:rsid w:val="002A568E"/>
    <w:rsid w:val="002B1CDD"/>
    <w:rsid w:val="002B21CF"/>
    <w:rsid w:val="002B2A37"/>
    <w:rsid w:val="002B655F"/>
    <w:rsid w:val="002C4A5E"/>
    <w:rsid w:val="002D5DB3"/>
    <w:rsid w:val="002E0435"/>
    <w:rsid w:val="002E4D45"/>
    <w:rsid w:val="002E5526"/>
    <w:rsid w:val="002F2106"/>
    <w:rsid w:val="00307CB3"/>
    <w:rsid w:val="00327374"/>
    <w:rsid w:val="00327BB7"/>
    <w:rsid w:val="00333EB4"/>
    <w:rsid w:val="00336011"/>
    <w:rsid w:val="00341AEC"/>
    <w:rsid w:val="003508D9"/>
    <w:rsid w:val="00350EE6"/>
    <w:rsid w:val="003532C8"/>
    <w:rsid w:val="003564EA"/>
    <w:rsid w:val="00362090"/>
    <w:rsid w:val="00363485"/>
    <w:rsid w:val="00363589"/>
    <w:rsid w:val="003677B6"/>
    <w:rsid w:val="00373BAA"/>
    <w:rsid w:val="00374F6E"/>
    <w:rsid w:val="00374FBE"/>
    <w:rsid w:val="003752FD"/>
    <w:rsid w:val="00387D2D"/>
    <w:rsid w:val="0039058E"/>
    <w:rsid w:val="00392D09"/>
    <w:rsid w:val="00396A9F"/>
    <w:rsid w:val="003976B7"/>
    <w:rsid w:val="003B42C1"/>
    <w:rsid w:val="003B6A66"/>
    <w:rsid w:val="003B7955"/>
    <w:rsid w:val="003C4B90"/>
    <w:rsid w:val="003C56C3"/>
    <w:rsid w:val="003D70A9"/>
    <w:rsid w:val="003E7556"/>
    <w:rsid w:val="003F3326"/>
    <w:rsid w:val="003F4FC3"/>
    <w:rsid w:val="003F664F"/>
    <w:rsid w:val="003F76D9"/>
    <w:rsid w:val="003F79C3"/>
    <w:rsid w:val="003F7F03"/>
    <w:rsid w:val="004001E9"/>
    <w:rsid w:val="0040641C"/>
    <w:rsid w:val="004201BF"/>
    <w:rsid w:val="00421AAF"/>
    <w:rsid w:val="00422EE5"/>
    <w:rsid w:val="004267D7"/>
    <w:rsid w:val="004305C2"/>
    <w:rsid w:val="00437344"/>
    <w:rsid w:val="00437B24"/>
    <w:rsid w:val="00453C5A"/>
    <w:rsid w:val="00456783"/>
    <w:rsid w:val="0046221A"/>
    <w:rsid w:val="00467560"/>
    <w:rsid w:val="00467853"/>
    <w:rsid w:val="00476417"/>
    <w:rsid w:val="004778E9"/>
    <w:rsid w:val="00492BDE"/>
    <w:rsid w:val="0049582E"/>
    <w:rsid w:val="0049642C"/>
    <w:rsid w:val="004A3BDB"/>
    <w:rsid w:val="004A3C04"/>
    <w:rsid w:val="004A40A8"/>
    <w:rsid w:val="004A413D"/>
    <w:rsid w:val="004A4298"/>
    <w:rsid w:val="004A6331"/>
    <w:rsid w:val="004A6D43"/>
    <w:rsid w:val="004B1732"/>
    <w:rsid w:val="004C0D96"/>
    <w:rsid w:val="004C3769"/>
    <w:rsid w:val="004D2815"/>
    <w:rsid w:val="004D4082"/>
    <w:rsid w:val="004D4793"/>
    <w:rsid w:val="004D7984"/>
    <w:rsid w:val="004D7E54"/>
    <w:rsid w:val="004E541A"/>
    <w:rsid w:val="004F1A02"/>
    <w:rsid w:val="004F5942"/>
    <w:rsid w:val="0050410B"/>
    <w:rsid w:val="005104C6"/>
    <w:rsid w:val="00514F92"/>
    <w:rsid w:val="005156F5"/>
    <w:rsid w:val="00517011"/>
    <w:rsid w:val="005307AF"/>
    <w:rsid w:val="0053277D"/>
    <w:rsid w:val="00534A36"/>
    <w:rsid w:val="00536C1F"/>
    <w:rsid w:val="005456CD"/>
    <w:rsid w:val="0055092F"/>
    <w:rsid w:val="00556C44"/>
    <w:rsid w:val="00563C2B"/>
    <w:rsid w:val="005663FF"/>
    <w:rsid w:val="00572630"/>
    <w:rsid w:val="00572ECD"/>
    <w:rsid w:val="005777B8"/>
    <w:rsid w:val="00580845"/>
    <w:rsid w:val="00580DDC"/>
    <w:rsid w:val="00580FE0"/>
    <w:rsid w:val="00586B79"/>
    <w:rsid w:val="00587A31"/>
    <w:rsid w:val="005905B7"/>
    <w:rsid w:val="00592FE9"/>
    <w:rsid w:val="00595C05"/>
    <w:rsid w:val="005A3041"/>
    <w:rsid w:val="005A3676"/>
    <w:rsid w:val="005A630C"/>
    <w:rsid w:val="005B0BA3"/>
    <w:rsid w:val="005B30BE"/>
    <w:rsid w:val="005B35DD"/>
    <w:rsid w:val="005B40B6"/>
    <w:rsid w:val="005B6D60"/>
    <w:rsid w:val="005C3A68"/>
    <w:rsid w:val="005D59A2"/>
    <w:rsid w:val="005D5F7C"/>
    <w:rsid w:val="005D62D1"/>
    <w:rsid w:val="005D645D"/>
    <w:rsid w:val="005D6AC0"/>
    <w:rsid w:val="005E0B3A"/>
    <w:rsid w:val="005E1A03"/>
    <w:rsid w:val="005E222A"/>
    <w:rsid w:val="005E4914"/>
    <w:rsid w:val="005F0293"/>
    <w:rsid w:val="005F05BB"/>
    <w:rsid w:val="005F5338"/>
    <w:rsid w:val="005F5633"/>
    <w:rsid w:val="005F6D5C"/>
    <w:rsid w:val="0060338E"/>
    <w:rsid w:val="00607F6E"/>
    <w:rsid w:val="00611D3A"/>
    <w:rsid w:val="00615861"/>
    <w:rsid w:val="00623CEE"/>
    <w:rsid w:val="00623D7D"/>
    <w:rsid w:val="006315DB"/>
    <w:rsid w:val="006321AC"/>
    <w:rsid w:val="006334C9"/>
    <w:rsid w:val="0063414A"/>
    <w:rsid w:val="00634A84"/>
    <w:rsid w:val="00637389"/>
    <w:rsid w:val="006416EA"/>
    <w:rsid w:val="00642A8C"/>
    <w:rsid w:val="00646374"/>
    <w:rsid w:val="006507E4"/>
    <w:rsid w:val="00650EC8"/>
    <w:rsid w:val="00654E70"/>
    <w:rsid w:val="00661FED"/>
    <w:rsid w:val="00665128"/>
    <w:rsid w:val="006716D9"/>
    <w:rsid w:val="00672F29"/>
    <w:rsid w:val="00675E17"/>
    <w:rsid w:val="006769A2"/>
    <w:rsid w:val="00693AD6"/>
    <w:rsid w:val="00693F09"/>
    <w:rsid w:val="006A1B3A"/>
    <w:rsid w:val="006A5B76"/>
    <w:rsid w:val="006A6AE0"/>
    <w:rsid w:val="006B0330"/>
    <w:rsid w:val="006B1743"/>
    <w:rsid w:val="006B2B59"/>
    <w:rsid w:val="006C1F0E"/>
    <w:rsid w:val="006C3FD0"/>
    <w:rsid w:val="006D44B4"/>
    <w:rsid w:val="006D6CF7"/>
    <w:rsid w:val="006E0EC7"/>
    <w:rsid w:val="006E68A9"/>
    <w:rsid w:val="006F3E1F"/>
    <w:rsid w:val="006F670F"/>
    <w:rsid w:val="00706859"/>
    <w:rsid w:val="0071549C"/>
    <w:rsid w:val="00715DF1"/>
    <w:rsid w:val="007206EC"/>
    <w:rsid w:val="0072192D"/>
    <w:rsid w:val="007235F8"/>
    <w:rsid w:val="007274E7"/>
    <w:rsid w:val="00736E7D"/>
    <w:rsid w:val="00746703"/>
    <w:rsid w:val="00746A56"/>
    <w:rsid w:val="00751FA0"/>
    <w:rsid w:val="00752BF6"/>
    <w:rsid w:val="00757CE5"/>
    <w:rsid w:val="0076036B"/>
    <w:rsid w:val="00764ECA"/>
    <w:rsid w:val="0077018D"/>
    <w:rsid w:val="00772907"/>
    <w:rsid w:val="00792C7B"/>
    <w:rsid w:val="007A0B8B"/>
    <w:rsid w:val="007A1290"/>
    <w:rsid w:val="007A2E40"/>
    <w:rsid w:val="007A3F2A"/>
    <w:rsid w:val="007A4D75"/>
    <w:rsid w:val="007A6F7F"/>
    <w:rsid w:val="007A74B9"/>
    <w:rsid w:val="007B0D8F"/>
    <w:rsid w:val="007B1322"/>
    <w:rsid w:val="007B2C2A"/>
    <w:rsid w:val="007B4265"/>
    <w:rsid w:val="007B601C"/>
    <w:rsid w:val="007C01F9"/>
    <w:rsid w:val="007C4BB1"/>
    <w:rsid w:val="007C56D3"/>
    <w:rsid w:val="007C627C"/>
    <w:rsid w:val="007C68C2"/>
    <w:rsid w:val="007C7E9E"/>
    <w:rsid w:val="007D608D"/>
    <w:rsid w:val="007D7E7E"/>
    <w:rsid w:val="007E54EE"/>
    <w:rsid w:val="007E71B7"/>
    <w:rsid w:val="007F1962"/>
    <w:rsid w:val="007F4023"/>
    <w:rsid w:val="007F6B1C"/>
    <w:rsid w:val="007F7257"/>
    <w:rsid w:val="0080220F"/>
    <w:rsid w:val="00807BD7"/>
    <w:rsid w:val="008137EA"/>
    <w:rsid w:val="00816E99"/>
    <w:rsid w:val="0082179D"/>
    <w:rsid w:val="00822EA3"/>
    <w:rsid w:val="00823052"/>
    <w:rsid w:val="00826069"/>
    <w:rsid w:val="00826A3F"/>
    <w:rsid w:val="0083042D"/>
    <w:rsid w:val="00831165"/>
    <w:rsid w:val="008323F9"/>
    <w:rsid w:val="0083798D"/>
    <w:rsid w:val="008413FC"/>
    <w:rsid w:val="00842AAB"/>
    <w:rsid w:val="00843112"/>
    <w:rsid w:val="00851170"/>
    <w:rsid w:val="00851B31"/>
    <w:rsid w:val="0086019F"/>
    <w:rsid w:val="00861DEE"/>
    <w:rsid w:val="00866325"/>
    <w:rsid w:val="0087017F"/>
    <w:rsid w:val="00876004"/>
    <w:rsid w:val="008874D1"/>
    <w:rsid w:val="00887F45"/>
    <w:rsid w:val="008918A2"/>
    <w:rsid w:val="00891FCF"/>
    <w:rsid w:val="008936C5"/>
    <w:rsid w:val="008942CA"/>
    <w:rsid w:val="00894F97"/>
    <w:rsid w:val="00895BF2"/>
    <w:rsid w:val="008B0220"/>
    <w:rsid w:val="008B3D61"/>
    <w:rsid w:val="008B4EEA"/>
    <w:rsid w:val="008B75A0"/>
    <w:rsid w:val="008C2143"/>
    <w:rsid w:val="008D36C6"/>
    <w:rsid w:val="008E4678"/>
    <w:rsid w:val="008F26A9"/>
    <w:rsid w:val="008F5E16"/>
    <w:rsid w:val="00901E50"/>
    <w:rsid w:val="00902E0B"/>
    <w:rsid w:val="00904C2C"/>
    <w:rsid w:val="0091115F"/>
    <w:rsid w:val="00911692"/>
    <w:rsid w:val="00911EDA"/>
    <w:rsid w:val="009142C4"/>
    <w:rsid w:val="00915D03"/>
    <w:rsid w:val="00924935"/>
    <w:rsid w:val="009249E3"/>
    <w:rsid w:val="00925E98"/>
    <w:rsid w:val="00932BB9"/>
    <w:rsid w:val="009334A9"/>
    <w:rsid w:val="00934713"/>
    <w:rsid w:val="009415F4"/>
    <w:rsid w:val="00950EA4"/>
    <w:rsid w:val="009513F6"/>
    <w:rsid w:val="00954D85"/>
    <w:rsid w:val="00957ADD"/>
    <w:rsid w:val="00960486"/>
    <w:rsid w:val="00963C19"/>
    <w:rsid w:val="00974DB3"/>
    <w:rsid w:val="0097664B"/>
    <w:rsid w:val="00976B95"/>
    <w:rsid w:val="00980054"/>
    <w:rsid w:val="00981B72"/>
    <w:rsid w:val="00986AB7"/>
    <w:rsid w:val="00987059"/>
    <w:rsid w:val="00990625"/>
    <w:rsid w:val="00991D34"/>
    <w:rsid w:val="00995258"/>
    <w:rsid w:val="00995E4B"/>
    <w:rsid w:val="009975B8"/>
    <w:rsid w:val="009A229B"/>
    <w:rsid w:val="009A2345"/>
    <w:rsid w:val="009A358D"/>
    <w:rsid w:val="009A7029"/>
    <w:rsid w:val="009B31D2"/>
    <w:rsid w:val="009B72B6"/>
    <w:rsid w:val="009C03F2"/>
    <w:rsid w:val="009C1FDA"/>
    <w:rsid w:val="009C25BA"/>
    <w:rsid w:val="009C4430"/>
    <w:rsid w:val="009C54F0"/>
    <w:rsid w:val="009D4AA1"/>
    <w:rsid w:val="009E0DC7"/>
    <w:rsid w:val="009E43E1"/>
    <w:rsid w:val="009E5C0A"/>
    <w:rsid w:val="009F1D35"/>
    <w:rsid w:val="009F22C2"/>
    <w:rsid w:val="009F3528"/>
    <w:rsid w:val="00A03012"/>
    <w:rsid w:val="00A1272E"/>
    <w:rsid w:val="00A12CA9"/>
    <w:rsid w:val="00A16187"/>
    <w:rsid w:val="00A22EE6"/>
    <w:rsid w:val="00A23006"/>
    <w:rsid w:val="00A271E2"/>
    <w:rsid w:val="00A322AF"/>
    <w:rsid w:val="00A3648A"/>
    <w:rsid w:val="00A36AA5"/>
    <w:rsid w:val="00A3790C"/>
    <w:rsid w:val="00A379BC"/>
    <w:rsid w:val="00A52174"/>
    <w:rsid w:val="00A57141"/>
    <w:rsid w:val="00A616F0"/>
    <w:rsid w:val="00A6616C"/>
    <w:rsid w:val="00A71670"/>
    <w:rsid w:val="00A76FE9"/>
    <w:rsid w:val="00A80C05"/>
    <w:rsid w:val="00A8410D"/>
    <w:rsid w:val="00A84CA4"/>
    <w:rsid w:val="00A92EDD"/>
    <w:rsid w:val="00A94AA2"/>
    <w:rsid w:val="00A97AC0"/>
    <w:rsid w:val="00AA149F"/>
    <w:rsid w:val="00AA2970"/>
    <w:rsid w:val="00AA43EC"/>
    <w:rsid w:val="00AB023E"/>
    <w:rsid w:val="00AB2758"/>
    <w:rsid w:val="00AB4DFC"/>
    <w:rsid w:val="00AC29F7"/>
    <w:rsid w:val="00AC6A91"/>
    <w:rsid w:val="00AD0DC9"/>
    <w:rsid w:val="00AD602E"/>
    <w:rsid w:val="00AE0123"/>
    <w:rsid w:val="00AE080F"/>
    <w:rsid w:val="00AF0260"/>
    <w:rsid w:val="00AF14FE"/>
    <w:rsid w:val="00AF2F6C"/>
    <w:rsid w:val="00AF52CD"/>
    <w:rsid w:val="00AF6EE0"/>
    <w:rsid w:val="00B01059"/>
    <w:rsid w:val="00B047A2"/>
    <w:rsid w:val="00B05193"/>
    <w:rsid w:val="00B0687B"/>
    <w:rsid w:val="00B06BE0"/>
    <w:rsid w:val="00B12495"/>
    <w:rsid w:val="00B12B9B"/>
    <w:rsid w:val="00B14CB3"/>
    <w:rsid w:val="00B17428"/>
    <w:rsid w:val="00B235B9"/>
    <w:rsid w:val="00B27FD9"/>
    <w:rsid w:val="00B36240"/>
    <w:rsid w:val="00B41E0D"/>
    <w:rsid w:val="00B50AAC"/>
    <w:rsid w:val="00B50D42"/>
    <w:rsid w:val="00B53D3E"/>
    <w:rsid w:val="00B5423C"/>
    <w:rsid w:val="00B61099"/>
    <w:rsid w:val="00B62B38"/>
    <w:rsid w:val="00B64A36"/>
    <w:rsid w:val="00B654A4"/>
    <w:rsid w:val="00B67699"/>
    <w:rsid w:val="00B7209F"/>
    <w:rsid w:val="00B829CB"/>
    <w:rsid w:val="00B83D6A"/>
    <w:rsid w:val="00B91886"/>
    <w:rsid w:val="00B91E90"/>
    <w:rsid w:val="00B92BE1"/>
    <w:rsid w:val="00B95DDC"/>
    <w:rsid w:val="00B9603B"/>
    <w:rsid w:val="00BA103E"/>
    <w:rsid w:val="00BA4EFA"/>
    <w:rsid w:val="00BA63DA"/>
    <w:rsid w:val="00BA6F66"/>
    <w:rsid w:val="00BB35ED"/>
    <w:rsid w:val="00BC57EA"/>
    <w:rsid w:val="00BC588E"/>
    <w:rsid w:val="00BD3352"/>
    <w:rsid w:val="00BD3B0D"/>
    <w:rsid w:val="00BD6C23"/>
    <w:rsid w:val="00BE05FE"/>
    <w:rsid w:val="00BE1DD4"/>
    <w:rsid w:val="00BE24AD"/>
    <w:rsid w:val="00BE5A53"/>
    <w:rsid w:val="00BF20FF"/>
    <w:rsid w:val="00BF4655"/>
    <w:rsid w:val="00BF7282"/>
    <w:rsid w:val="00BF73AD"/>
    <w:rsid w:val="00BF75EE"/>
    <w:rsid w:val="00BF7843"/>
    <w:rsid w:val="00C10336"/>
    <w:rsid w:val="00C12CF9"/>
    <w:rsid w:val="00C20121"/>
    <w:rsid w:val="00C2088E"/>
    <w:rsid w:val="00C2120B"/>
    <w:rsid w:val="00C242A9"/>
    <w:rsid w:val="00C31C09"/>
    <w:rsid w:val="00C3650E"/>
    <w:rsid w:val="00C42A33"/>
    <w:rsid w:val="00C46E2A"/>
    <w:rsid w:val="00C5238D"/>
    <w:rsid w:val="00C579F6"/>
    <w:rsid w:val="00C600A0"/>
    <w:rsid w:val="00C63166"/>
    <w:rsid w:val="00C641A6"/>
    <w:rsid w:val="00C743EA"/>
    <w:rsid w:val="00C86324"/>
    <w:rsid w:val="00C91187"/>
    <w:rsid w:val="00C91345"/>
    <w:rsid w:val="00C91E22"/>
    <w:rsid w:val="00C920C2"/>
    <w:rsid w:val="00C92A55"/>
    <w:rsid w:val="00CA224F"/>
    <w:rsid w:val="00CB1ACF"/>
    <w:rsid w:val="00CB6E72"/>
    <w:rsid w:val="00CC08B7"/>
    <w:rsid w:val="00CC09DD"/>
    <w:rsid w:val="00CC1420"/>
    <w:rsid w:val="00CD1B1D"/>
    <w:rsid w:val="00CE5FF8"/>
    <w:rsid w:val="00CF3876"/>
    <w:rsid w:val="00D0046B"/>
    <w:rsid w:val="00D02BCA"/>
    <w:rsid w:val="00D06135"/>
    <w:rsid w:val="00D07EA6"/>
    <w:rsid w:val="00D256A5"/>
    <w:rsid w:val="00D25FF6"/>
    <w:rsid w:val="00D26013"/>
    <w:rsid w:val="00D30C36"/>
    <w:rsid w:val="00D3634A"/>
    <w:rsid w:val="00D36BAD"/>
    <w:rsid w:val="00D37128"/>
    <w:rsid w:val="00D46E62"/>
    <w:rsid w:val="00D47EC5"/>
    <w:rsid w:val="00D5273F"/>
    <w:rsid w:val="00D535C2"/>
    <w:rsid w:val="00D57F83"/>
    <w:rsid w:val="00D70555"/>
    <w:rsid w:val="00D713AF"/>
    <w:rsid w:val="00D76AF7"/>
    <w:rsid w:val="00D81ED5"/>
    <w:rsid w:val="00D8595D"/>
    <w:rsid w:val="00D859EC"/>
    <w:rsid w:val="00D958DF"/>
    <w:rsid w:val="00DA5419"/>
    <w:rsid w:val="00DC395A"/>
    <w:rsid w:val="00DC64EF"/>
    <w:rsid w:val="00DC6A53"/>
    <w:rsid w:val="00DD131E"/>
    <w:rsid w:val="00DF01F7"/>
    <w:rsid w:val="00E03057"/>
    <w:rsid w:val="00E038E2"/>
    <w:rsid w:val="00E045D7"/>
    <w:rsid w:val="00E1112E"/>
    <w:rsid w:val="00E1167C"/>
    <w:rsid w:val="00E13639"/>
    <w:rsid w:val="00E20FBA"/>
    <w:rsid w:val="00E31D8A"/>
    <w:rsid w:val="00E34856"/>
    <w:rsid w:val="00E40F42"/>
    <w:rsid w:val="00E42036"/>
    <w:rsid w:val="00E4421E"/>
    <w:rsid w:val="00E44D81"/>
    <w:rsid w:val="00E45E5D"/>
    <w:rsid w:val="00E519ED"/>
    <w:rsid w:val="00E52829"/>
    <w:rsid w:val="00E56771"/>
    <w:rsid w:val="00E57322"/>
    <w:rsid w:val="00E62099"/>
    <w:rsid w:val="00E62280"/>
    <w:rsid w:val="00E67C1F"/>
    <w:rsid w:val="00E7119B"/>
    <w:rsid w:val="00E73246"/>
    <w:rsid w:val="00E84A40"/>
    <w:rsid w:val="00E860E4"/>
    <w:rsid w:val="00E86358"/>
    <w:rsid w:val="00E940D9"/>
    <w:rsid w:val="00EA0F1D"/>
    <w:rsid w:val="00EA45F3"/>
    <w:rsid w:val="00EB1C58"/>
    <w:rsid w:val="00EB3394"/>
    <w:rsid w:val="00EB7BB4"/>
    <w:rsid w:val="00EC0D99"/>
    <w:rsid w:val="00EC2684"/>
    <w:rsid w:val="00EC5F6C"/>
    <w:rsid w:val="00ED079B"/>
    <w:rsid w:val="00EE1134"/>
    <w:rsid w:val="00EE261F"/>
    <w:rsid w:val="00EE45A7"/>
    <w:rsid w:val="00EF044C"/>
    <w:rsid w:val="00EF15A1"/>
    <w:rsid w:val="00EF6248"/>
    <w:rsid w:val="00EF7F15"/>
    <w:rsid w:val="00F01D46"/>
    <w:rsid w:val="00F03393"/>
    <w:rsid w:val="00F053DC"/>
    <w:rsid w:val="00F16988"/>
    <w:rsid w:val="00F25B98"/>
    <w:rsid w:val="00F31DE5"/>
    <w:rsid w:val="00F4008E"/>
    <w:rsid w:val="00F46838"/>
    <w:rsid w:val="00F50197"/>
    <w:rsid w:val="00F506EA"/>
    <w:rsid w:val="00F52BFA"/>
    <w:rsid w:val="00F57226"/>
    <w:rsid w:val="00F630AB"/>
    <w:rsid w:val="00F65096"/>
    <w:rsid w:val="00F65884"/>
    <w:rsid w:val="00F70713"/>
    <w:rsid w:val="00F7297A"/>
    <w:rsid w:val="00F72FE6"/>
    <w:rsid w:val="00F76A70"/>
    <w:rsid w:val="00F76CEE"/>
    <w:rsid w:val="00F8199A"/>
    <w:rsid w:val="00F96BD5"/>
    <w:rsid w:val="00FA157F"/>
    <w:rsid w:val="00FA4EF2"/>
    <w:rsid w:val="00FA551F"/>
    <w:rsid w:val="00FA6A0D"/>
    <w:rsid w:val="00FA70EE"/>
    <w:rsid w:val="00FA7980"/>
    <w:rsid w:val="00FB26D2"/>
    <w:rsid w:val="00FB6084"/>
    <w:rsid w:val="00FC7C5F"/>
    <w:rsid w:val="00FD3718"/>
    <w:rsid w:val="00FD6903"/>
    <w:rsid w:val="00FE0E87"/>
    <w:rsid w:val="00FE177D"/>
    <w:rsid w:val="00FE4A83"/>
    <w:rsid w:val="00FE5194"/>
    <w:rsid w:val="00FF0492"/>
    <w:rsid w:val="00FF29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8C674"/>
  <w15:chartTrackingRefBased/>
  <w15:docId w15:val="{8A38A8D8-6EF8-4D4C-BD94-244988C4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2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2F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F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2F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2F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2F2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2F2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2F2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2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2F2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F2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2F2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2F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2F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2F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2F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2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F2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F2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2F29"/>
    <w:pPr>
      <w:spacing w:before="160"/>
      <w:jc w:val="center"/>
    </w:pPr>
    <w:rPr>
      <w:i/>
      <w:iCs/>
      <w:color w:val="404040" w:themeColor="text1" w:themeTint="BF"/>
    </w:rPr>
  </w:style>
  <w:style w:type="character" w:customStyle="1" w:styleId="QuoteChar">
    <w:name w:val="Quote Char"/>
    <w:basedOn w:val="DefaultParagraphFont"/>
    <w:link w:val="Quote"/>
    <w:uiPriority w:val="29"/>
    <w:rsid w:val="00672F29"/>
    <w:rPr>
      <w:i/>
      <w:iCs/>
      <w:color w:val="404040" w:themeColor="text1" w:themeTint="BF"/>
    </w:rPr>
  </w:style>
  <w:style w:type="paragraph" w:styleId="ListParagraph">
    <w:name w:val="List Paragraph"/>
    <w:basedOn w:val="Normal"/>
    <w:uiPriority w:val="34"/>
    <w:qFormat/>
    <w:rsid w:val="00672F29"/>
    <w:pPr>
      <w:ind w:left="720"/>
      <w:contextualSpacing/>
    </w:pPr>
  </w:style>
  <w:style w:type="character" w:styleId="IntenseEmphasis">
    <w:name w:val="Intense Emphasis"/>
    <w:basedOn w:val="DefaultParagraphFont"/>
    <w:uiPriority w:val="21"/>
    <w:qFormat/>
    <w:rsid w:val="00672F29"/>
    <w:rPr>
      <w:i/>
      <w:iCs/>
      <w:color w:val="0F4761" w:themeColor="accent1" w:themeShade="BF"/>
    </w:rPr>
  </w:style>
  <w:style w:type="paragraph" w:styleId="IntenseQuote">
    <w:name w:val="Intense Quote"/>
    <w:basedOn w:val="Normal"/>
    <w:next w:val="Normal"/>
    <w:link w:val="IntenseQuoteChar"/>
    <w:uiPriority w:val="30"/>
    <w:qFormat/>
    <w:rsid w:val="00672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F29"/>
    <w:rPr>
      <w:i/>
      <w:iCs/>
      <w:color w:val="0F4761" w:themeColor="accent1" w:themeShade="BF"/>
    </w:rPr>
  </w:style>
  <w:style w:type="character" w:styleId="IntenseReference">
    <w:name w:val="Intense Reference"/>
    <w:basedOn w:val="DefaultParagraphFont"/>
    <w:uiPriority w:val="32"/>
    <w:qFormat/>
    <w:rsid w:val="00672F29"/>
    <w:rPr>
      <w:b/>
      <w:bCs/>
      <w:smallCaps/>
      <w:color w:val="0F4761" w:themeColor="accent1" w:themeShade="BF"/>
      <w:spacing w:val="5"/>
    </w:rPr>
  </w:style>
  <w:style w:type="character" w:styleId="Hyperlink">
    <w:name w:val="Hyperlink"/>
    <w:basedOn w:val="DefaultParagraphFont"/>
    <w:uiPriority w:val="99"/>
    <w:unhideWhenUsed/>
    <w:rsid w:val="008D36C6"/>
    <w:rPr>
      <w:color w:val="467886" w:themeColor="hyperlink"/>
      <w:u w:val="single"/>
    </w:rPr>
  </w:style>
  <w:style w:type="character" w:styleId="UnresolvedMention">
    <w:name w:val="Unresolved Mention"/>
    <w:basedOn w:val="DefaultParagraphFont"/>
    <w:uiPriority w:val="99"/>
    <w:semiHidden/>
    <w:unhideWhenUsed/>
    <w:rsid w:val="008D36C6"/>
    <w:rPr>
      <w:color w:val="605E5C"/>
      <w:shd w:val="clear" w:color="auto" w:fill="E1DFDD"/>
    </w:rPr>
  </w:style>
  <w:style w:type="paragraph" w:styleId="FootnoteText">
    <w:name w:val="footnote text"/>
    <w:aliases w:val="Schriftart: 9 pt,Schriftart: 10 pt,Schriftart: 8 pt,WB-Fußnotentext,fn,Footnotes,Footnote ak,Footnote Text Char1 Char,Footnote Text Char Char Char,Footnote Text Char1 Char Char1 Char,Footnote Text Char Char Char Char Char,Fußnote,FOOTNOTES"/>
    <w:basedOn w:val="Normal"/>
    <w:link w:val="FootnoteTextChar"/>
    <w:uiPriority w:val="99"/>
    <w:unhideWhenUsed/>
    <w:qFormat/>
    <w:rsid w:val="00003014"/>
    <w:pPr>
      <w:spacing w:after="0" w:line="240" w:lineRule="auto"/>
      <w:jc w:val="both"/>
    </w:pPr>
    <w:rPr>
      <w:kern w:val="0"/>
      <w:sz w:val="20"/>
      <w:szCs w:val="20"/>
      <w14:ligatures w14:val="none"/>
    </w:rPr>
  </w:style>
  <w:style w:type="character" w:customStyle="1" w:styleId="FootnoteTextChar">
    <w:name w:val="Footnote Text Char"/>
    <w:aliases w:val="Schriftart: 9 pt Char,Schriftart: 10 pt Char,Schriftart: 8 pt Char,WB-Fußnotentext Char,fn Char,Footnotes Char,Footnote ak Char,Footnote Text Char1 Char Char,Footnote Text Char Char Char Char,Footnote Text Char1 Char Char1 Char Char"/>
    <w:basedOn w:val="DefaultParagraphFont"/>
    <w:link w:val="FootnoteText"/>
    <w:uiPriority w:val="99"/>
    <w:qFormat/>
    <w:rsid w:val="00003014"/>
    <w:rPr>
      <w:kern w:val="0"/>
      <w:sz w:val="20"/>
      <w:szCs w:val="20"/>
      <w14:ligatures w14:val="none"/>
    </w:rPr>
  </w:style>
  <w:style w:type="character" w:styleId="FootnoteReference">
    <w:name w:val="footnote reference"/>
    <w:aliases w:val="Nota,Footnote symbol,Footnote,Appel note de bas de p,BVI fnr,SUPERS,Footnote call, BVI fnr,(Footnote Reference),Voetnootverwijzing,Times 10 Point,Exposant 3 Point,Footnote reference number,note TESI,stylish,Ref,de nota al pie,16 Point"/>
    <w:basedOn w:val="DefaultParagraphFont"/>
    <w:link w:val="FootnotesymbolCarZchn"/>
    <w:uiPriority w:val="99"/>
    <w:unhideWhenUsed/>
    <w:qFormat/>
    <w:rsid w:val="00003014"/>
    <w:rPr>
      <w:vertAlign w:val="superscript"/>
    </w:rPr>
  </w:style>
  <w:style w:type="character" w:customStyle="1" w:styleId="value-setvalue--spaced">
    <w:name w:val="value-set__value--spaced"/>
    <w:basedOn w:val="DefaultParagraphFont"/>
    <w:rsid w:val="00E42036"/>
  </w:style>
  <w:style w:type="character" w:customStyle="1" w:styleId="oj-italic">
    <w:name w:val="oj-italic"/>
    <w:basedOn w:val="DefaultParagraphFont"/>
    <w:rsid w:val="00E42036"/>
  </w:style>
  <w:style w:type="character" w:styleId="CommentReference">
    <w:name w:val="annotation reference"/>
    <w:basedOn w:val="DefaultParagraphFont"/>
    <w:uiPriority w:val="99"/>
    <w:semiHidden/>
    <w:unhideWhenUsed/>
    <w:rsid w:val="00207CBB"/>
    <w:rPr>
      <w:sz w:val="16"/>
      <w:szCs w:val="16"/>
    </w:rPr>
  </w:style>
  <w:style w:type="paragraph" w:styleId="CommentText">
    <w:name w:val="annotation text"/>
    <w:basedOn w:val="Normal"/>
    <w:link w:val="CommentTextChar"/>
    <w:uiPriority w:val="99"/>
    <w:unhideWhenUsed/>
    <w:rsid w:val="00207CBB"/>
    <w:pPr>
      <w:spacing w:line="240" w:lineRule="auto"/>
    </w:pPr>
    <w:rPr>
      <w:sz w:val="20"/>
      <w:szCs w:val="20"/>
    </w:rPr>
  </w:style>
  <w:style w:type="character" w:customStyle="1" w:styleId="CommentTextChar">
    <w:name w:val="Comment Text Char"/>
    <w:basedOn w:val="DefaultParagraphFont"/>
    <w:link w:val="CommentText"/>
    <w:uiPriority w:val="99"/>
    <w:rsid w:val="00207CBB"/>
    <w:rPr>
      <w:sz w:val="20"/>
      <w:szCs w:val="20"/>
    </w:rPr>
  </w:style>
  <w:style w:type="paragraph" w:styleId="CommentSubject">
    <w:name w:val="annotation subject"/>
    <w:basedOn w:val="CommentText"/>
    <w:next w:val="CommentText"/>
    <w:link w:val="CommentSubjectChar"/>
    <w:uiPriority w:val="99"/>
    <w:semiHidden/>
    <w:unhideWhenUsed/>
    <w:rsid w:val="00207CBB"/>
    <w:rPr>
      <w:b/>
      <w:bCs/>
    </w:rPr>
  </w:style>
  <w:style w:type="character" w:customStyle="1" w:styleId="CommentSubjectChar">
    <w:name w:val="Comment Subject Char"/>
    <w:basedOn w:val="CommentTextChar"/>
    <w:link w:val="CommentSubject"/>
    <w:uiPriority w:val="99"/>
    <w:semiHidden/>
    <w:rsid w:val="00207CBB"/>
    <w:rPr>
      <w:b/>
      <w:bCs/>
      <w:sz w:val="20"/>
      <w:szCs w:val="20"/>
    </w:rPr>
  </w:style>
  <w:style w:type="paragraph" w:styleId="Revision">
    <w:name w:val="Revision"/>
    <w:hidden/>
    <w:uiPriority w:val="99"/>
    <w:semiHidden/>
    <w:rsid w:val="000B0254"/>
    <w:pPr>
      <w:spacing w:after="0" w:line="240" w:lineRule="auto"/>
    </w:pPr>
  </w:style>
  <w:style w:type="paragraph" w:styleId="Header">
    <w:name w:val="header"/>
    <w:basedOn w:val="Normal"/>
    <w:link w:val="HeaderChar"/>
    <w:uiPriority w:val="99"/>
    <w:unhideWhenUsed/>
    <w:rsid w:val="00A230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A23006"/>
  </w:style>
  <w:style w:type="paragraph" w:styleId="Footer">
    <w:name w:val="footer"/>
    <w:basedOn w:val="Normal"/>
    <w:link w:val="FooterChar"/>
    <w:uiPriority w:val="99"/>
    <w:unhideWhenUsed/>
    <w:rsid w:val="00A230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23006"/>
  </w:style>
  <w:style w:type="paragraph" w:styleId="NormalWeb">
    <w:name w:val="Normal (Web)"/>
    <w:basedOn w:val="Normal"/>
    <w:uiPriority w:val="99"/>
    <w:semiHidden/>
    <w:unhideWhenUsed/>
    <w:rsid w:val="00CC08B7"/>
    <w:pPr>
      <w:spacing w:before="100" w:beforeAutospacing="1" w:after="100" w:afterAutospacing="1" w:line="240" w:lineRule="auto"/>
    </w:pPr>
    <w:rPr>
      <w:rFonts w:eastAsia="Times New Roman" w:cs="Times New Roman"/>
      <w:kern w:val="0"/>
      <w:szCs w:val="24"/>
      <w:lang w:eastAsia="lv-LV"/>
      <w14:ligatures w14:val="none"/>
    </w:rPr>
  </w:style>
  <w:style w:type="character" w:styleId="Strong">
    <w:name w:val="Strong"/>
    <w:basedOn w:val="DefaultParagraphFont"/>
    <w:uiPriority w:val="22"/>
    <w:qFormat/>
    <w:rsid w:val="00CC08B7"/>
    <w:rPr>
      <w:b/>
      <w:bCs/>
    </w:rPr>
  </w:style>
  <w:style w:type="character" w:customStyle="1" w:styleId="normaltextrun">
    <w:name w:val="normaltextrun"/>
    <w:basedOn w:val="DefaultParagraphFont"/>
    <w:rsid w:val="00000A79"/>
  </w:style>
  <w:style w:type="paragraph" w:customStyle="1" w:styleId="Virsrakstsbezformateijuma1">
    <w:name w:val="Virsraksts bez formateijuma1"/>
    <w:basedOn w:val="Normal"/>
    <w:qFormat/>
    <w:rsid w:val="002E4D45"/>
    <w:pPr>
      <w:spacing w:after="0" w:line="240" w:lineRule="auto"/>
      <w:ind w:firstLine="720"/>
    </w:pPr>
    <w:rPr>
      <w:b/>
      <w:bCs/>
    </w:rPr>
  </w:style>
  <w:style w:type="paragraph" w:customStyle="1" w:styleId="TekstsTNR12">
    <w:name w:val="Teksts TNR 12"/>
    <w:aliases w:val="parasts 1"/>
    <w:basedOn w:val="Normal"/>
    <w:qFormat/>
    <w:rsid w:val="00595C05"/>
    <w:pPr>
      <w:spacing w:after="0" w:line="240" w:lineRule="auto"/>
      <w:jc w:val="both"/>
    </w:pPr>
  </w:style>
  <w:style w:type="paragraph" w:customStyle="1" w:styleId="Virsraksts">
    <w:name w:val="Virsraksts"/>
    <w:aliases w:val="TNR12,bold"/>
    <w:basedOn w:val="Virsrakstsbezformateijuma1"/>
    <w:qFormat/>
    <w:rsid w:val="00B50AAC"/>
  </w:style>
  <w:style w:type="table" w:customStyle="1" w:styleId="TableGrid1">
    <w:name w:val="Table Grid1"/>
    <w:basedOn w:val="TableNormal"/>
    <w:next w:val="TableGrid"/>
    <w:uiPriority w:val="39"/>
    <w:rsid w:val="00396A9F"/>
    <w:pPr>
      <w:spacing w:after="0" w:line="240" w:lineRule="auto"/>
    </w:pPr>
    <w:rPr>
      <w:rFonts w:ascii="Aptos" w:eastAsia="Aptos" w:hAnsi="Apto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9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4CB3"/>
    <w:rPr>
      <w:color w:val="96607D" w:themeColor="followed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B4DFC"/>
    <w:pPr>
      <w:spacing w:after="0" w:line="240" w:lineRule="exact"/>
      <w:jc w:val="both"/>
    </w:pPr>
    <w:rPr>
      <w:vertAlign w:val="superscript"/>
    </w:rPr>
  </w:style>
  <w:style w:type="paragraph" w:styleId="TOCHeading">
    <w:name w:val="TOC Heading"/>
    <w:basedOn w:val="Heading1"/>
    <w:next w:val="Normal"/>
    <w:uiPriority w:val="39"/>
    <w:unhideWhenUsed/>
    <w:qFormat/>
    <w:rsid w:val="00534A36"/>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534A36"/>
    <w:pPr>
      <w:spacing w:after="100"/>
    </w:pPr>
  </w:style>
  <w:style w:type="paragraph" w:styleId="HTMLPreformatted">
    <w:name w:val="HTML Preformatted"/>
    <w:basedOn w:val="Normal"/>
    <w:link w:val="HTMLPreformattedChar"/>
    <w:uiPriority w:val="99"/>
    <w:semiHidden/>
    <w:unhideWhenUsed/>
    <w:rsid w:val="007D608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D608D"/>
    <w:rPr>
      <w:rFonts w:ascii="Consolas" w:hAnsi="Consolas"/>
      <w:sz w:val="20"/>
      <w:szCs w:val="20"/>
    </w:rPr>
  </w:style>
  <w:style w:type="paragraph" w:styleId="TOC2">
    <w:name w:val="toc 2"/>
    <w:basedOn w:val="Normal"/>
    <w:next w:val="Normal"/>
    <w:autoRedefine/>
    <w:uiPriority w:val="39"/>
    <w:unhideWhenUsed/>
    <w:rsid w:val="009B72B6"/>
    <w:pPr>
      <w:spacing w:after="100"/>
      <w:ind w:left="240"/>
    </w:pPr>
  </w:style>
  <w:style w:type="paragraph" w:styleId="TOC3">
    <w:name w:val="toc 3"/>
    <w:basedOn w:val="Normal"/>
    <w:next w:val="Normal"/>
    <w:autoRedefine/>
    <w:uiPriority w:val="39"/>
    <w:unhideWhenUsed/>
    <w:rsid w:val="009B72B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4069">
      <w:bodyDiv w:val="1"/>
      <w:marLeft w:val="0"/>
      <w:marRight w:val="0"/>
      <w:marTop w:val="0"/>
      <w:marBottom w:val="0"/>
      <w:divBdr>
        <w:top w:val="none" w:sz="0" w:space="0" w:color="auto"/>
        <w:left w:val="none" w:sz="0" w:space="0" w:color="auto"/>
        <w:bottom w:val="none" w:sz="0" w:space="0" w:color="auto"/>
        <w:right w:val="none" w:sz="0" w:space="0" w:color="auto"/>
      </w:divBdr>
    </w:div>
    <w:div w:id="84763832">
      <w:bodyDiv w:val="1"/>
      <w:marLeft w:val="0"/>
      <w:marRight w:val="0"/>
      <w:marTop w:val="0"/>
      <w:marBottom w:val="0"/>
      <w:divBdr>
        <w:top w:val="none" w:sz="0" w:space="0" w:color="auto"/>
        <w:left w:val="none" w:sz="0" w:space="0" w:color="auto"/>
        <w:bottom w:val="none" w:sz="0" w:space="0" w:color="auto"/>
        <w:right w:val="none" w:sz="0" w:space="0" w:color="auto"/>
      </w:divBdr>
    </w:div>
    <w:div w:id="151143001">
      <w:bodyDiv w:val="1"/>
      <w:marLeft w:val="0"/>
      <w:marRight w:val="0"/>
      <w:marTop w:val="0"/>
      <w:marBottom w:val="0"/>
      <w:divBdr>
        <w:top w:val="none" w:sz="0" w:space="0" w:color="auto"/>
        <w:left w:val="none" w:sz="0" w:space="0" w:color="auto"/>
        <w:bottom w:val="none" w:sz="0" w:space="0" w:color="auto"/>
        <w:right w:val="none" w:sz="0" w:space="0" w:color="auto"/>
      </w:divBdr>
    </w:div>
    <w:div w:id="284193878">
      <w:bodyDiv w:val="1"/>
      <w:marLeft w:val="0"/>
      <w:marRight w:val="0"/>
      <w:marTop w:val="0"/>
      <w:marBottom w:val="0"/>
      <w:divBdr>
        <w:top w:val="none" w:sz="0" w:space="0" w:color="auto"/>
        <w:left w:val="none" w:sz="0" w:space="0" w:color="auto"/>
        <w:bottom w:val="none" w:sz="0" w:space="0" w:color="auto"/>
        <w:right w:val="none" w:sz="0" w:space="0" w:color="auto"/>
      </w:divBdr>
    </w:div>
    <w:div w:id="419449206">
      <w:bodyDiv w:val="1"/>
      <w:marLeft w:val="0"/>
      <w:marRight w:val="0"/>
      <w:marTop w:val="0"/>
      <w:marBottom w:val="0"/>
      <w:divBdr>
        <w:top w:val="none" w:sz="0" w:space="0" w:color="auto"/>
        <w:left w:val="none" w:sz="0" w:space="0" w:color="auto"/>
        <w:bottom w:val="none" w:sz="0" w:space="0" w:color="auto"/>
        <w:right w:val="none" w:sz="0" w:space="0" w:color="auto"/>
      </w:divBdr>
    </w:div>
    <w:div w:id="436948041">
      <w:bodyDiv w:val="1"/>
      <w:marLeft w:val="0"/>
      <w:marRight w:val="0"/>
      <w:marTop w:val="0"/>
      <w:marBottom w:val="0"/>
      <w:divBdr>
        <w:top w:val="none" w:sz="0" w:space="0" w:color="auto"/>
        <w:left w:val="none" w:sz="0" w:space="0" w:color="auto"/>
        <w:bottom w:val="none" w:sz="0" w:space="0" w:color="auto"/>
        <w:right w:val="none" w:sz="0" w:space="0" w:color="auto"/>
      </w:divBdr>
    </w:div>
    <w:div w:id="449670166">
      <w:bodyDiv w:val="1"/>
      <w:marLeft w:val="0"/>
      <w:marRight w:val="0"/>
      <w:marTop w:val="0"/>
      <w:marBottom w:val="0"/>
      <w:divBdr>
        <w:top w:val="none" w:sz="0" w:space="0" w:color="auto"/>
        <w:left w:val="none" w:sz="0" w:space="0" w:color="auto"/>
        <w:bottom w:val="none" w:sz="0" w:space="0" w:color="auto"/>
        <w:right w:val="none" w:sz="0" w:space="0" w:color="auto"/>
      </w:divBdr>
    </w:div>
    <w:div w:id="607588468">
      <w:bodyDiv w:val="1"/>
      <w:marLeft w:val="0"/>
      <w:marRight w:val="0"/>
      <w:marTop w:val="0"/>
      <w:marBottom w:val="0"/>
      <w:divBdr>
        <w:top w:val="none" w:sz="0" w:space="0" w:color="auto"/>
        <w:left w:val="none" w:sz="0" w:space="0" w:color="auto"/>
        <w:bottom w:val="none" w:sz="0" w:space="0" w:color="auto"/>
        <w:right w:val="none" w:sz="0" w:space="0" w:color="auto"/>
      </w:divBdr>
    </w:div>
    <w:div w:id="658464901">
      <w:bodyDiv w:val="1"/>
      <w:marLeft w:val="0"/>
      <w:marRight w:val="0"/>
      <w:marTop w:val="0"/>
      <w:marBottom w:val="0"/>
      <w:divBdr>
        <w:top w:val="none" w:sz="0" w:space="0" w:color="auto"/>
        <w:left w:val="none" w:sz="0" w:space="0" w:color="auto"/>
        <w:bottom w:val="none" w:sz="0" w:space="0" w:color="auto"/>
        <w:right w:val="none" w:sz="0" w:space="0" w:color="auto"/>
      </w:divBdr>
      <w:divsChild>
        <w:div w:id="942147505">
          <w:marLeft w:val="0"/>
          <w:marRight w:val="0"/>
          <w:marTop w:val="0"/>
          <w:marBottom w:val="567"/>
          <w:divBdr>
            <w:top w:val="none" w:sz="0" w:space="0" w:color="auto"/>
            <w:left w:val="none" w:sz="0" w:space="0" w:color="auto"/>
            <w:bottom w:val="none" w:sz="0" w:space="0" w:color="auto"/>
            <w:right w:val="none" w:sz="0" w:space="0" w:color="auto"/>
          </w:divBdr>
        </w:div>
        <w:div w:id="1730106582">
          <w:marLeft w:val="0"/>
          <w:marRight w:val="0"/>
          <w:marTop w:val="480"/>
          <w:marBottom w:val="240"/>
          <w:divBdr>
            <w:top w:val="none" w:sz="0" w:space="0" w:color="auto"/>
            <w:left w:val="none" w:sz="0" w:space="0" w:color="auto"/>
            <w:bottom w:val="none" w:sz="0" w:space="0" w:color="auto"/>
            <w:right w:val="none" w:sz="0" w:space="0" w:color="auto"/>
          </w:divBdr>
        </w:div>
      </w:divsChild>
    </w:div>
    <w:div w:id="790978144">
      <w:bodyDiv w:val="1"/>
      <w:marLeft w:val="0"/>
      <w:marRight w:val="0"/>
      <w:marTop w:val="0"/>
      <w:marBottom w:val="0"/>
      <w:divBdr>
        <w:top w:val="none" w:sz="0" w:space="0" w:color="auto"/>
        <w:left w:val="none" w:sz="0" w:space="0" w:color="auto"/>
        <w:bottom w:val="none" w:sz="0" w:space="0" w:color="auto"/>
        <w:right w:val="none" w:sz="0" w:space="0" w:color="auto"/>
      </w:divBdr>
    </w:div>
    <w:div w:id="866678078">
      <w:bodyDiv w:val="1"/>
      <w:marLeft w:val="0"/>
      <w:marRight w:val="0"/>
      <w:marTop w:val="0"/>
      <w:marBottom w:val="0"/>
      <w:divBdr>
        <w:top w:val="none" w:sz="0" w:space="0" w:color="auto"/>
        <w:left w:val="none" w:sz="0" w:space="0" w:color="auto"/>
        <w:bottom w:val="none" w:sz="0" w:space="0" w:color="auto"/>
        <w:right w:val="none" w:sz="0" w:space="0" w:color="auto"/>
      </w:divBdr>
      <w:divsChild>
        <w:div w:id="389889900">
          <w:marLeft w:val="0"/>
          <w:marRight w:val="0"/>
          <w:marTop w:val="0"/>
          <w:marBottom w:val="567"/>
          <w:divBdr>
            <w:top w:val="none" w:sz="0" w:space="0" w:color="auto"/>
            <w:left w:val="none" w:sz="0" w:space="0" w:color="auto"/>
            <w:bottom w:val="none" w:sz="0" w:space="0" w:color="auto"/>
            <w:right w:val="none" w:sz="0" w:space="0" w:color="auto"/>
          </w:divBdr>
        </w:div>
        <w:div w:id="1904439748">
          <w:marLeft w:val="0"/>
          <w:marRight w:val="0"/>
          <w:marTop w:val="480"/>
          <w:marBottom w:val="240"/>
          <w:divBdr>
            <w:top w:val="none" w:sz="0" w:space="0" w:color="auto"/>
            <w:left w:val="none" w:sz="0" w:space="0" w:color="auto"/>
            <w:bottom w:val="none" w:sz="0" w:space="0" w:color="auto"/>
            <w:right w:val="none" w:sz="0" w:space="0" w:color="auto"/>
          </w:divBdr>
        </w:div>
      </w:divsChild>
    </w:div>
    <w:div w:id="887648226">
      <w:bodyDiv w:val="1"/>
      <w:marLeft w:val="0"/>
      <w:marRight w:val="0"/>
      <w:marTop w:val="0"/>
      <w:marBottom w:val="0"/>
      <w:divBdr>
        <w:top w:val="none" w:sz="0" w:space="0" w:color="auto"/>
        <w:left w:val="none" w:sz="0" w:space="0" w:color="auto"/>
        <w:bottom w:val="none" w:sz="0" w:space="0" w:color="auto"/>
        <w:right w:val="none" w:sz="0" w:space="0" w:color="auto"/>
      </w:divBdr>
    </w:div>
    <w:div w:id="944773436">
      <w:bodyDiv w:val="1"/>
      <w:marLeft w:val="0"/>
      <w:marRight w:val="0"/>
      <w:marTop w:val="0"/>
      <w:marBottom w:val="0"/>
      <w:divBdr>
        <w:top w:val="none" w:sz="0" w:space="0" w:color="auto"/>
        <w:left w:val="none" w:sz="0" w:space="0" w:color="auto"/>
        <w:bottom w:val="none" w:sz="0" w:space="0" w:color="auto"/>
        <w:right w:val="none" w:sz="0" w:space="0" w:color="auto"/>
      </w:divBdr>
    </w:div>
    <w:div w:id="1086002324">
      <w:bodyDiv w:val="1"/>
      <w:marLeft w:val="0"/>
      <w:marRight w:val="0"/>
      <w:marTop w:val="0"/>
      <w:marBottom w:val="0"/>
      <w:divBdr>
        <w:top w:val="none" w:sz="0" w:space="0" w:color="auto"/>
        <w:left w:val="none" w:sz="0" w:space="0" w:color="auto"/>
        <w:bottom w:val="none" w:sz="0" w:space="0" w:color="auto"/>
        <w:right w:val="none" w:sz="0" w:space="0" w:color="auto"/>
      </w:divBdr>
    </w:div>
    <w:div w:id="1214580800">
      <w:bodyDiv w:val="1"/>
      <w:marLeft w:val="0"/>
      <w:marRight w:val="0"/>
      <w:marTop w:val="0"/>
      <w:marBottom w:val="0"/>
      <w:divBdr>
        <w:top w:val="none" w:sz="0" w:space="0" w:color="auto"/>
        <w:left w:val="none" w:sz="0" w:space="0" w:color="auto"/>
        <w:bottom w:val="none" w:sz="0" w:space="0" w:color="auto"/>
        <w:right w:val="none" w:sz="0" w:space="0" w:color="auto"/>
      </w:divBdr>
    </w:div>
    <w:div w:id="1217400740">
      <w:bodyDiv w:val="1"/>
      <w:marLeft w:val="0"/>
      <w:marRight w:val="0"/>
      <w:marTop w:val="0"/>
      <w:marBottom w:val="0"/>
      <w:divBdr>
        <w:top w:val="none" w:sz="0" w:space="0" w:color="auto"/>
        <w:left w:val="none" w:sz="0" w:space="0" w:color="auto"/>
        <w:bottom w:val="none" w:sz="0" w:space="0" w:color="auto"/>
        <w:right w:val="none" w:sz="0" w:space="0" w:color="auto"/>
      </w:divBdr>
    </w:div>
    <w:div w:id="1256210763">
      <w:bodyDiv w:val="1"/>
      <w:marLeft w:val="0"/>
      <w:marRight w:val="0"/>
      <w:marTop w:val="0"/>
      <w:marBottom w:val="0"/>
      <w:divBdr>
        <w:top w:val="none" w:sz="0" w:space="0" w:color="auto"/>
        <w:left w:val="none" w:sz="0" w:space="0" w:color="auto"/>
        <w:bottom w:val="none" w:sz="0" w:space="0" w:color="auto"/>
        <w:right w:val="none" w:sz="0" w:space="0" w:color="auto"/>
      </w:divBdr>
    </w:div>
    <w:div w:id="1270240400">
      <w:bodyDiv w:val="1"/>
      <w:marLeft w:val="0"/>
      <w:marRight w:val="0"/>
      <w:marTop w:val="0"/>
      <w:marBottom w:val="0"/>
      <w:divBdr>
        <w:top w:val="none" w:sz="0" w:space="0" w:color="auto"/>
        <w:left w:val="none" w:sz="0" w:space="0" w:color="auto"/>
        <w:bottom w:val="none" w:sz="0" w:space="0" w:color="auto"/>
        <w:right w:val="none" w:sz="0" w:space="0" w:color="auto"/>
      </w:divBdr>
      <w:divsChild>
        <w:div w:id="1817070597">
          <w:marLeft w:val="0"/>
          <w:marRight w:val="0"/>
          <w:marTop w:val="480"/>
          <w:marBottom w:val="240"/>
          <w:divBdr>
            <w:top w:val="none" w:sz="0" w:space="0" w:color="auto"/>
            <w:left w:val="none" w:sz="0" w:space="0" w:color="auto"/>
            <w:bottom w:val="none" w:sz="0" w:space="0" w:color="auto"/>
            <w:right w:val="none" w:sz="0" w:space="0" w:color="auto"/>
          </w:divBdr>
        </w:div>
        <w:div w:id="1926106235">
          <w:marLeft w:val="0"/>
          <w:marRight w:val="0"/>
          <w:marTop w:val="0"/>
          <w:marBottom w:val="567"/>
          <w:divBdr>
            <w:top w:val="none" w:sz="0" w:space="0" w:color="auto"/>
            <w:left w:val="none" w:sz="0" w:space="0" w:color="auto"/>
            <w:bottom w:val="none" w:sz="0" w:space="0" w:color="auto"/>
            <w:right w:val="none" w:sz="0" w:space="0" w:color="auto"/>
          </w:divBdr>
        </w:div>
      </w:divsChild>
    </w:div>
    <w:div w:id="1350833968">
      <w:bodyDiv w:val="1"/>
      <w:marLeft w:val="0"/>
      <w:marRight w:val="0"/>
      <w:marTop w:val="0"/>
      <w:marBottom w:val="0"/>
      <w:divBdr>
        <w:top w:val="none" w:sz="0" w:space="0" w:color="auto"/>
        <w:left w:val="none" w:sz="0" w:space="0" w:color="auto"/>
        <w:bottom w:val="none" w:sz="0" w:space="0" w:color="auto"/>
        <w:right w:val="none" w:sz="0" w:space="0" w:color="auto"/>
      </w:divBdr>
      <w:divsChild>
        <w:div w:id="1723212876">
          <w:marLeft w:val="0"/>
          <w:marRight w:val="0"/>
          <w:marTop w:val="480"/>
          <w:marBottom w:val="240"/>
          <w:divBdr>
            <w:top w:val="none" w:sz="0" w:space="0" w:color="auto"/>
            <w:left w:val="none" w:sz="0" w:space="0" w:color="auto"/>
            <w:bottom w:val="none" w:sz="0" w:space="0" w:color="auto"/>
            <w:right w:val="none" w:sz="0" w:space="0" w:color="auto"/>
          </w:divBdr>
        </w:div>
        <w:div w:id="2139495141">
          <w:marLeft w:val="0"/>
          <w:marRight w:val="0"/>
          <w:marTop w:val="0"/>
          <w:marBottom w:val="567"/>
          <w:divBdr>
            <w:top w:val="none" w:sz="0" w:space="0" w:color="auto"/>
            <w:left w:val="none" w:sz="0" w:space="0" w:color="auto"/>
            <w:bottom w:val="none" w:sz="0" w:space="0" w:color="auto"/>
            <w:right w:val="none" w:sz="0" w:space="0" w:color="auto"/>
          </w:divBdr>
        </w:div>
      </w:divsChild>
    </w:div>
    <w:div w:id="1380856597">
      <w:bodyDiv w:val="1"/>
      <w:marLeft w:val="0"/>
      <w:marRight w:val="0"/>
      <w:marTop w:val="0"/>
      <w:marBottom w:val="0"/>
      <w:divBdr>
        <w:top w:val="none" w:sz="0" w:space="0" w:color="auto"/>
        <w:left w:val="none" w:sz="0" w:space="0" w:color="auto"/>
        <w:bottom w:val="none" w:sz="0" w:space="0" w:color="auto"/>
        <w:right w:val="none" w:sz="0" w:space="0" w:color="auto"/>
      </w:divBdr>
    </w:div>
    <w:div w:id="1648243229">
      <w:bodyDiv w:val="1"/>
      <w:marLeft w:val="0"/>
      <w:marRight w:val="0"/>
      <w:marTop w:val="0"/>
      <w:marBottom w:val="0"/>
      <w:divBdr>
        <w:top w:val="none" w:sz="0" w:space="0" w:color="auto"/>
        <w:left w:val="none" w:sz="0" w:space="0" w:color="auto"/>
        <w:bottom w:val="none" w:sz="0" w:space="0" w:color="auto"/>
        <w:right w:val="none" w:sz="0" w:space="0" w:color="auto"/>
      </w:divBdr>
    </w:div>
    <w:div w:id="1664310205">
      <w:bodyDiv w:val="1"/>
      <w:marLeft w:val="0"/>
      <w:marRight w:val="0"/>
      <w:marTop w:val="0"/>
      <w:marBottom w:val="0"/>
      <w:divBdr>
        <w:top w:val="none" w:sz="0" w:space="0" w:color="auto"/>
        <w:left w:val="none" w:sz="0" w:space="0" w:color="auto"/>
        <w:bottom w:val="none" w:sz="0" w:space="0" w:color="auto"/>
        <w:right w:val="none" w:sz="0" w:space="0" w:color="auto"/>
      </w:divBdr>
    </w:div>
    <w:div w:id="1669940734">
      <w:bodyDiv w:val="1"/>
      <w:marLeft w:val="0"/>
      <w:marRight w:val="0"/>
      <w:marTop w:val="0"/>
      <w:marBottom w:val="0"/>
      <w:divBdr>
        <w:top w:val="none" w:sz="0" w:space="0" w:color="auto"/>
        <w:left w:val="none" w:sz="0" w:space="0" w:color="auto"/>
        <w:bottom w:val="none" w:sz="0" w:space="0" w:color="auto"/>
        <w:right w:val="none" w:sz="0" w:space="0" w:color="auto"/>
      </w:divBdr>
    </w:div>
    <w:div w:id="1676956755">
      <w:bodyDiv w:val="1"/>
      <w:marLeft w:val="0"/>
      <w:marRight w:val="0"/>
      <w:marTop w:val="0"/>
      <w:marBottom w:val="0"/>
      <w:divBdr>
        <w:top w:val="none" w:sz="0" w:space="0" w:color="auto"/>
        <w:left w:val="none" w:sz="0" w:space="0" w:color="auto"/>
        <w:bottom w:val="none" w:sz="0" w:space="0" w:color="auto"/>
        <w:right w:val="none" w:sz="0" w:space="0" w:color="auto"/>
      </w:divBdr>
      <w:divsChild>
        <w:div w:id="1029258020">
          <w:marLeft w:val="0"/>
          <w:marRight w:val="0"/>
          <w:marTop w:val="0"/>
          <w:marBottom w:val="567"/>
          <w:divBdr>
            <w:top w:val="none" w:sz="0" w:space="0" w:color="auto"/>
            <w:left w:val="none" w:sz="0" w:space="0" w:color="auto"/>
            <w:bottom w:val="none" w:sz="0" w:space="0" w:color="auto"/>
            <w:right w:val="none" w:sz="0" w:space="0" w:color="auto"/>
          </w:divBdr>
        </w:div>
        <w:div w:id="1627472158">
          <w:marLeft w:val="0"/>
          <w:marRight w:val="0"/>
          <w:marTop w:val="480"/>
          <w:marBottom w:val="240"/>
          <w:divBdr>
            <w:top w:val="none" w:sz="0" w:space="0" w:color="auto"/>
            <w:left w:val="none" w:sz="0" w:space="0" w:color="auto"/>
            <w:bottom w:val="none" w:sz="0" w:space="0" w:color="auto"/>
            <w:right w:val="none" w:sz="0" w:space="0" w:color="auto"/>
          </w:divBdr>
        </w:div>
      </w:divsChild>
    </w:div>
    <w:div w:id="1917206979">
      <w:bodyDiv w:val="1"/>
      <w:marLeft w:val="0"/>
      <w:marRight w:val="0"/>
      <w:marTop w:val="0"/>
      <w:marBottom w:val="0"/>
      <w:divBdr>
        <w:top w:val="none" w:sz="0" w:space="0" w:color="auto"/>
        <w:left w:val="none" w:sz="0" w:space="0" w:color="auto"/>
        <w:bottom w:val="none" w:sz="0" w:space="0" w:color="auto"/>
        <w:right w:val="none" w:sz="0" w:space="0" w:color="auto"/>
      </w:divBdr>
    </w:div>
    <w:div w:id="20708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eli/dir/2018/1972/oj/?locale=LV" TargetMode="External"/><Relationship Id="rId13" Type="http://schemas.openxmlformats.org/officeDocument/2006/relationships/hyperlink" Target="https://eur-lex.europa.eu/legal-content/LV/TXT/?uri=celex%3A32024R1309" TargetMode="External"/><Relationship Id="rId3" Type="http://schemas.openxmlformats.org/officeDocument/2006/relationships/hyperlink" Target="https://eur-lex.europa.eu/legal-content/LV/TXT/PDF/?uri=CELEX:32022D2481" TargetMode="External"/><Relationship Id="rId7" Type="http://schemas.openxmlformats.org/officeDocument/2006/relationships/hyperlink" Target="https://eur-lex.europa.eu/eli/reg_impl/2020/1070/oj/?locale=LV" TargetMode="External"/><Relationship Id="rId12" Type="http://schemas.openxmlformats.org/officeDocument/2006/relationships/hyperlink" Target="https://eur-lex.europa.eu/legal-content/LV/TXT/?uri=celex%3A32024R1309" TargetMode="External"/><Relationship Id="rId17" Type="http://schemas.openxmlformats.org/officeDocument/2006/relationships/hyperlink" Target="https://www.vi.gov.lv/lv/mobilie-telefoni-un-veseliba" TargetMode="External"/><Relationship Id="rId2" Type="http://schemas.openxmlformats.org/officeDocument/2006/relationships/hyperlink" Target="https://eur-lex.europa.eu/legal-content/LV/TXT/?uri=CELEX%3A52016DC0587" TargetMode="External"/><Relationship Id="rId16" Type="http://schemas.openxmlformats.org/officeDocument/2006/relationships/hyperlink" Target="https://digital-strategy.ec.europa.eu/en/policies/5g-observatory-2025" TargetMode="External"/><Relationship Id="rId1" Type="http://schemas.openxmlformats.org/officeDocument/2006/relationships/hyperlink" Target="https://likumi.lv/ta/id/327586-par-elektronisko-sakaru-nozares-attistibas-planu-2021-2027-gadam" TargetMode="External"/><Relationship Id="rId6" Type="http://schemas.openxmlformats.org/officeDocument/2006/relationships/hyperlink" Target="https://likumi.lv/ta/id/340434-radiofrekvences-pieskiruma-lietosanas-atlauju-noteikumi" TargetMode="External"/><Relationship Id="rId11" Type="http://schemas.openxmlformats.org/officeDocument/2006/relationships/hyperlink" Target="https://eur-lex.europa.eu/legal-content/LV/TXT/?uri=celex%3A32024R1309" TargetMode="External"/><Relationship Id="rId5" Type="http://schemas.openxmlformats.org/officeDocument/2006/relationships/hyperlink" Target="https://eur-lex.europa.eu/eli/reg_impl/2020/1070/oj/?locale=LV" TargetMode="External"/><Relationship Id="rId15" Type="http://schemas.openxmlformats.org/officeDocument/2006/relationships/hyperlink" Target="https://eur-lex.europa.eu/legal-content/LV/TXT/?uri=celex%3A32024R1309" TargetMode="External"/><Relationship Id="rId10" Type="http://schemas.openxmlformats.org/officeDocument/2006/relationships/hyperlink" Target="https://eur-lex.europa.eu/legal-content/LV/TXT/?uri=CELEX%3A02020R1070-20240814" TargetMode="External"/><Relationship Id="rId4" Type="http://schemas.openxmlformats.org/officeDocument/2006/relationships/hyperlink" Target="https://eur-lex.europa.eu/legal-content/LV/TXT/?uri=celex%3A32024R1309" TargetMode="External"/><Relationship Id="rId9" Type="http://schemas.openxmlformats.org/officeDocument/2006/relationships/hyperlink" Target="https://www.gsma.com/solutions-and-impact/connectivity-for-good/public-policy/wp-content/uploads/2016/12/GSMA_Small_Cell_Deployment_Booklet.pdf" TargetMode="External"/><Relationship Id="rId14" Type="http://schemas.openxmlformats.org/officeDocument/2006/relationships/hyperlink" Target="https://eur-lex.europa.eu/legal-content/LV/TXT/?uri=celex%3A32024R1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565A9-4A73-47A3-8AF0-5F376C24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18</Pages>
  <Words>31335</Words>
  <Characters>17861</Characters>
  <Application>Microsoft Office Word</Application>
  <DocSecurity>0</DocSecurity>
  <Lines>148</Lines>
  <Paragraphs>98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Linde</dc:creator>
  <cp:keywords/>
  <dc:description/>
  <cp:lastModifiedBy>Aelita Stepiņa</cp:lastModifiedBy>
  <cp:revision>19</cp:revision>
  <cp:lastPrinted>2025-12-01T11:54:00Z</cp:lastPrinted>
  <dcterms:created xsi:type="dcterms:W3CDTF">2025-12-02T10:55:00Z</dcterms:created>
  <dcterms:modified xsi:type="dcterms:W3CDTF">2025-12-08T09:10:00Z</dcterms:modified>
</cp:coreProperties>
</file>