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491A9" w14:textId="4EB83D8B" w:rsidR="00565B66" w:rsidRPr="00565B66" w:rsidRDefault="00565B66" w:rsidP="00565B66">
      <w:pPr>
        <w:shd w:val="clear" w:color="auto" w:fill="FFFFFF"/>
        <w:spacing w:after="0" w:line="240" w:lineRule="auto"/>
        <w:jc w:val="center"/>
        <w:rPr>
          <w:rFonts w:ascii="Times New Roman" w:eastAsia="Times New Roman" w:hAnsi="Times New Roman" w:cs="Times New Roman"/>
          <w:b/>
          <w:bCs/>
          <w:sz w:val="24"/>
          <w:szCs w:val="24"/>
          <w:lang w:eastAsia="lv-LV"/>
        </w:rPr>
      </w:pPr>
      <w:r w:rsidRPr="00565B66">
        <w:rPr>
          <w:rFonts w:ascii="Times New Roman" w:eastAsia="Times New Roman" w:hAnsi="Times New Roman" w:cs="Times New Roman"/>
          <w:b/>
          <w:bCs/>
          <w:sz w:val="24"/>
          <w:szCs w:val="24"/>
          <w:lang w:eastAsia="lv-LV"/>
        </w:rPr>
        <w:t>Ministru kabineta noteikumu projekta</w:t>
      </w:r>
      <w:r>
        <w:rPr>
          <w:rFonts w:ascii="Times New Roman" w:eastAsia="Times New Roman" w:hAnsi="Times New Roman" w:cs="Times New Roman"/>
          <w:b/>
          <w:bCs/>
          <w:sz w:val="24"/>
          <w:szCs w:val="24"/>
          <w:lang w:eastAsia="lv-LV"/>
        </w:rPr>
        <w:t xml:space="preserve"> </w:t>
      </w:r>
      <w:r w:rsidRPr="00565B66">
        <w:rPr>
          <w:rFonts w:ascii="Times New Roman" w:eastAsia="Times New Roman" w:hAnsi="Times New Roman" w:cs="Times New Roman"/>
          <w:b/>
          <w:bCs/>
          <w:sz w:val="24"/>
          <w:szCs w:val="24"/>
          <w:lang w:val="x-none" w:eastAsia="lv-LV"/>
        </w:rPr>
        <w:t>„Grozījumi Ministru kabineta 2005.</w:t>
      </w:r>
      <w:r w:rsidRPr="00565B66">
        <w:rPr>
          <w:rFonts w:ascii="Times New Roman" w:eastAsia="Times New Roman" w:hAnsi="Times New Roman" w:cs="Times New Roman"/>
          <w:b/>
          <w:bCs/>
          <w:sz w:val="24"/>
          <w:szCs w:val="24"/>
          <w:lang w:eastAsia="lv-LV"/>
        </w:rPr>
        <w:t> </w:t>
      </w:r>
      <w:r w:rsidRPr="00565B66">
        <w:rPr>
          <w:rFonts w:ascii="Times New Roman" w:eastAsia="Times New Roman" w:hAnsi="Times New Roman" w:cs="Times New Roman"/>
          <w:b/>
          <w:bCs/>
          <w:sz w:val="24"/>
          <w:szCs w:val="24"/>
          <w:lang w:val="x-none" w:eastAsia="lv-LV"/>
        </w:rPr>
        <w:t>gada 22.</w:t>
      </w:r>
      <w:r w:rsidRPr="00565B66">
        <w:rPr>
          <w:rFonts w:ascii="Times New Roman" w:eastAsia="Times New Roman" w:hAnsi="Times New Roman" w:cs="Times New Roman"/>
          <w:b/>
          <w:bCs/>
          <w:sz w:val="24"/>
          <w:szCs w:val="24"/>
          <w:lang w:eastAsia="lv-LV"/>
        </w:rPr>
        <w:t> </w:t>
      </w:r>
      <w:r w:rsidRPr="00565B66">
        <w:rPr>
          <w:rFonts w:ascii="Times New Roman" w:eastAsia="Times New Roman" w:hAnsi="Times New Roman" w:cs="Times New Roman"/>
          <w:b/>
          <w:bCs/>
          <w:sz w:val="24"/>
          <w:szCs w:val="24"/>
          <w:lang w:val="x-none" w:eastAsia="lv-LV"/>
        </w:rPr>
        <w:t>novembra noteikumos</w:t>
      </w:r>
      <w:r>
        <w:rPr>
          <w:rFonts w:ascii="Times New Roman" w:eastAsia="Times New Roman" w:hAnsi="Times New Roman" w:cs="Times New Roman"/>
          <w:b/>
          <w:bCs/>
          <w:sz w:val="24"/>
          <w:szCs w:val="24"/>
          <w:lang w:eastAsia="lv-LV"/>
        </w:rPr>
        <w:t xml:space="preserve"> </w:t>
      </w:r>
      <w:r w:rsidRPr="00565B66">
        <w:rPr>
          <w:rFonts w:ascii="Times New Roman" w:eastAsia="Times New Roman" w:hAnsi="Times New Roman" w:cs="Times New Roman"/>
          <w:b/>
          <w:bCs/>
          <w:sz w:val="24"/>
          <w:szCs w:val="24"/>
          <w:lang w:eastAsia="lv-LV"/>
        </w:rPr>
        <w:t>Nr. 895 „Jūrnieku sertificēšanas noteikumi””</w:t>
      </w:r>
    </w:p>
    <w:p w14:paraId="04BD305F" w14:textId="395C920C" w:rsidR="00E5323B" w:rsidRDefault="00565B66" w:rsidP="00565B66">
      <w:pPr>
        <w:shd w:val="clear" w:color="auto" w:fill="FFFFFF"/>
        <w:spacing w:after="0" w:line="240" w:lineRule="auto"/>
        <w:jc w:val="center"/>
        <w:rPr>
          <w:rFonts w:ascii="Times New Roman" w:eastAsia="Times New Roman" w:hAnsi="Times New Roman" w:cs="Times New Roman"/>
          <w:b/>
          <w:bCs/>
          <w:sz w:val="24"/>
          <w:szCs w:val="24"/>
          <w:lang w:eastAsia="lv-LV"/>
        </w:rPr>
      </w:pPr>
      <w:r w:rsidRPr="00565B66">
        <w:rPr>
          <w:rFonts w:ascii="Times New Roman" w:eastAsia="Times New Roman" w:hAnsi="Times New Roman" w:cs="Times New Roman"/>
          <w:b/>
          <w:bCs/>
          <w:sz w:val="24"/>
          <w:szCs w:val="24"/>
          <w:lang w:eastAsia="lv-LV"/>
        </w:rPr>
        <w:t>sākotnējās ietekmes novērtējuma ziņojums (anotācija)</w:t>
      </w:r>
    </w:p>
    <w:p w14:paraId="2F5BAA0E" w14:textId="77777777" w:rsidR="00565B66" w:rsidRPr="00F06ACD" w:rsidRDefault="00565B66" w:rsidP="00565B66">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0"/>
        <w:gridCol w:w="6098"/>
      </w:tblGrid>
      <w:tr w:rsidR="00F05270" w:rsidRPr="00E6249A" w14:paraId="287BBE1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F56049" w14:textId="77777777" w:rsidR="00655F2C" w:rsidRPr="00E6249A" w:rsidRDefault="00E5323B"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Tiesību akta projekta anotācijas kopsavilkums</w:t>
            </w:r>
          </w:p>
        </w:tc>
      </w:tr>
      <w:tr w:rsidR="00E5323B" w:rsidRPr="00E6249A" w14:paraId="5AE9D4B9" w14:textId="77777777" w:rsidTr="007F6154">
        <w:trPr>
          <w:tblCellSpacing w:w="15" w:type="dxa"/>
        </w:trPr>
        <w:tc>
          <w:tcPr>
            <w:tcW w:w="1660" w:type="pct"/>
            <w:tcBorders>
              <w:top w:val="outset" w:sz="6" w:space="0" w:color="auto"/>
              <w:left w:val="outset" w:sz="6" w:space="0" w:color="auto"/>
              <w:bottom w:val="outset" w:sz="6" w:space="0" w:color="auto"/>
              <w:right w:val="outset" w:sz="6" w:space="0" w:color="auto"/>
            </w:tcBorders>
            <w:hideMark/>
          </w:tcPr>
          <w:p w14:paraId="2E375B15"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Mērķis, risinājums un projekta spēkā stāšanās laiks (500 zīmes bez atstarpēm)</w:t>
            </w:r>
          </w:p>
        </w:tc>
        <w:tc>
          <w:tcPr>
            <w:tcW w:w="3290" w:type="pct"/>
            <w:tcBorders>
              <w:top w:val="outset" w:sz="6" w:space="0" w:color="auto"/>
              <w:left w:val="outset" w:sz="6" w:space="0" w:color="auto"/>
              <w:bottom w:val="outset" w:sz="6" w:space="0" w:color="auto"/>
              <w:right w:val="outset" w:sz="6" w:space="0" w:color="auto"/>
            </w:tcBorders>
          </w:tcPr>
          <w:p w14:paraId="7A429D02" w14:textId="0315599A" w:rsidR="00565B66" w:rsidRPr="00565B66" w:rsidRDefault="00565B66" w:rsidP="00565B66">
            <w:pPr>
              <w:spacing w:after="0" w:line="240" w:lineRule="auto"/>
              <w:jc w:val="both"/>
              <w:rPr>
                <w:rFonts w:ascii="Times New Roman" w:eastAsia="Times New Roman" w:hAnsi="Times New Roman" w:cs="Times New Roman"/>
                <w:iCs/>
                <w:sz w:val="24"/>
                <w:szCs w:val="24"/>
                <w:lang w:eastAsia="lv-LV"/>
              </w:rPr>
            </w:pPr>
            <w:r w:rsidRPr="00520D76">
              <w:rPr>
                <w:rFonts w:ascii="Times New Roman" w:eastAsia="Times New Roman" w:hAnsi="Times New Roman" w:cs="Times New Roman"/>
                <w:iCs/>
                <w:sz w:val="24"/>
                <w:szCs w:val="24"/>
                <w:lang w:eastAsia="lv-LV"/>
              </w:rPr>
              <w:t>Ministru kabineta noteikumu projekt</w:t>
            </w:r>
            <w:r w:rsidR="00871AEB">
              <w:rPr>
                <w:rFonts w:ascii="Times New Roman" w:eastAsia="Times New Roman" w:hAnsi="Times New Roman" w:cs="Times New Roman"/>
                <w:iCs/>
                <w:sz w:val="24"/>
                <w:szCs w:val="24"/>
                <w:lang w:eastAsia="lv-LV"/>
              </w:rPr>
              <w:t>a</w:t>
            </w:r>
            <w:r w:rsidRPr="00520D76">
              <w:rPr>
                <w:rFonts w:ascii="Times New Roman" w:eastAsia="Times New Roman" w:hAnsi="Times New Roman" w:cs="Times New Roman"/>
                <w:iCs/>
                <w:sz w:val="24"/>
                <w:szCs w:val="24"/>
                <w:lang w:eastAsia="lv-LV"/>
              </w:rPr>
              <w:t xml:space="preserve"> “Grozījumi Ministru kabineta 2005. gada 22. novembra noteikumos Nr. 895 „Jūrnieku sertificēšanas noteikumi”” (turpmāk – noteikumu projekts) izstrādes mērķis ir Eiropas Savienības normatīvo aktu pārņemšana un ieviešana nacionālajos</w:t>
            </w:r>
            <w:r w:rsidRPr="00565B66">
              <w:rPr>
                <w:rFonts w:ascii="Times New Roman" w:eastAsia="Times New Roman" w:hAnsi="Times New Roman" w:cs="Times New Roman"/>
                <w:iCs/>
                <w:sz w:val="24"/>
                <w:szCs w:val="24"/>
                <w:lang w:eastAsia="lv-LV"/>
              </w:rPr>
              <w:t xml:space="preserve"> tiesību aktos, kā arī praksē konstatēto problēmu novēršana.</w:t>
            </w:r>
          </w:p>
          <w:p w14:paraId="688E44B1" w14:textId="77777777" w:rsidR="00565B66" w:rsidRPr="00565B66" w:rsidRDefault="00565B66" w:rsidP="00565B66">
            <w:pPr>
              <w:spacing w:after="0" w:line="240" w:lineRule="auto"/>
              <w:jc w:val="both"/>
              <w:rPr>
                <w:rFonts w:ascii="Times New Roman" w:eastAsia="Times New Roman" w:hAnsi="Times New Roman" w:cs="Times New Roman"/>
                <w:iCs/>
                <w:sz w:val="24"/>
                <w:szCs w:val="24"/>
                <w:lang w:eastAsia="lv-LV"/>
              </w:rPr>
            </w:pPr>
          </w:p>
          <w:p w14:paraId="1CAE045B" w14:textId="34EE3AF4" w:rsidR="00E5323B" w:rsidRPr="00E6249A" w:rsidRDefault="00565B66" w:rsidP="00565B66">
            <w:pPr>
              <w:spacing w:after="0" w:line="240" w:lineRule="auto"/>
              <w:jc w:val="both"/>
              <w:rPr>
                <w:rFonts w:ascii="Times New Roman" w:eastAsia="Times New Roman" w:hAnsi="Times New Roman" w:cs="Times New Roman"/>
                <w:iCs/>
                <w:sz w:val="24"/>
                <w:szCs w:val="24"/>
                <w:lang w:eastAsia="lv-LV"/>
              </w:rPr>
            </w:pPr>
            <w:r w:rsidRPr="00565B66">
              <w:rPr>
                <w:rFonts w:ascii="Times New Roman" w:eastAsia="Times New Roman" w:hAnsi="Times New Roman" w:cs="Times New Roman"/>
                <w:iCs/>
                <w:sz w:val="24"/>
                <w:szCs w:val="24"/>
                <w:lang w:eastAsia="lv-LV"/>
              </w:rPr>
              <w:t>Tiesību akta projekts stāsies spēkā atbilstoši Oficiālo publikāciju un tiesiskās informācijas likuma 7. panta otrajai daļai.</w:t>
            </w:r>
          </w:p>
        </w:tc>
      </w:tr>
    </w:tbl>
    <w:p w14:paraId="7CAF74D0" w14:textId="68EBFAA8" w:rsidR="00327E1E" w:rsidRPr="00E6249A" w:rsidRDefault="00327E1E" w:rsidP="00EA6EAC">
      <w:pPr>
        <w:spacing w:after="0" w:line="240" w:lineRule="auto"/>
        <w:rPr>
          <w:rFonts w:ascii="Arial" w:eastAsia="Times New Roman" w:hAnsi="Arial" w:cs="Arial"/>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2510"/>
        <w:gridCol w:w="6098"/>
      </w:tblGrid>
      <w:tr w:rsidR="00F05270" w:rsidRPr="00E6249A" w14:paraId="5E6ED3D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8AF892" w14:textId="77777777" w:rsidR="00655F2C" w:rsidRPr="00E6249A" w:rsidRDefault="00E5323B"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I. Tiesību akta projekta izstrādes nepieciešamība</w:t>
            </w:r>
          </w:p>
        </w:tc>
      </w:tr>
      <w:tr w:rsidR="00F05270" w:rsidRPr="00E6249A" w14:paraId="0A71EF31" w14:textId="77777777" w:rsidTr="002A18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C231BA"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1.</w:t>
            </w:r>
          </w:p>
        </w:tc>
        <w:tc>
          <w:tcPr>
            <w:tcW w:w="1348" w:type="pct"/>
            <w:tcBorders>
              <w:top w:val="outset" w:sz="6" w:space="0" w:color="auto"/>
              <w:left w:val="outset" w:sz="6" w:space="0" w:color="auto"/>
              <w:bottom w:val="outset" w:sz="6" w:space="0" w:color="auto"/>
              <w:right w:val="outset" w:sz="6" w:space="0" w:color="auto"/>
            </w:tcBorders>
            <w:hideMark/>
          </w:tcPr>
          <w:p w14:paraId="20FA9D1D"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Pamatojums</w:t>
            </w:r>
          </w:p>
        </w:tc>
        <w:tc>
          <w:tcPr>
            <w:tcW w:w="3290" w:type="pct"/>
            <w:tcBorders>
              <w:top w:val="outset" w:sz="6" w:space="0" w:color="auto"/>
              <w:left w:val="outset" w:sz="6" w:space="0" w:color="auto"/>
              <w:bottom w:val="outset" w:sz="6" w:space="0" w:color="auto"/>
              <w:right w:val="outset" w:sz="6" w:space="0" w:color="auto"/>
            </w:tcBorders>
            <w:hideMark/>
          </w:tcPr>
          <w:p w14:paraId="430ADAD1" w14:textId="68799D94" w:rsidR="000A64FE" w:rsidRPr="00520D76" w:rsidRDefault="000A64FE" w:rsidP="000A64FE">
            <w:pPr>
              <w:spacing w:after="0" w:line="240" w:lineRule="auto"/>
              <w:jc w:val="both"/>
              <w:rPr>
                <w:rFonts w:ascii="Times New Roman" w:eastAsia="Times New Roman" w:hAnsi="Times New Roman" w:cs="Times New Roman"/>
                <w:iCs/>
                <w:sz w:val="24"/>
                <w:szCs w:val="24"/>
                <w:lang w:eastAsia="lv-LV"/>
              </w:rPr>
            </w:pPr>
            <w:r w:rsidRPr="000A64FE">
              <w:rPr>
                <w:rFonts w:ascii="Times New Roman" w:eastAsia="Times New Roman" w:hAnsi="Times New Roman" w:cs="Times New Roman"/>
                <w:iCs/>
                <w:sz w:val="24"/>
                <w:szCs w:val="24"/>
                <w:lang w:eastAsia="lv-LV"/>
              </w:rPr>
              <w:t xml:space="preserve">Eiropas Parlamenta un Padomes 2019. gada 20. jūnija Direktīva 2019/1159, ar ko groza Direktīvu 2008/106/EK par jūrnieku minimālo sagatavotības līmeni un atceļ Direktīvu 2005/45/EK </w:t>
            </w:r>
            <w:r w:rsidRPr="00520D76">
              <w:rPr>
                <w:rFonts w:ascii="Times New Roman" w:eastAsia="Times New Roman" w:hAnsi="Times New Roman" w:cs="Times New Roman"/>
                <w:iCs/>
                <w:sz w:val="24"/>
                <w:szCs w:val="24"/>
                <w:lang w:eastAsia="lv-LV"/>
              </w:rPr>
              <w:t xml:space="preserve">par dalībvalstu izsniegto jūrnieku sertifikātu savstarpēju atzīšanu (turpmāk – Direktīva 2019/1159). </w:t>
            </w:r>
          </w:p>
          <w:p w14:paraId="0FC45D82" w14:textId="34A8C556" w:rsidR="000A64FE" w:rsidRPr="00520D76" w:rsidRDefault="000A64FE" w:rsidP="000A64FE">
            <w:pPr>
              <w:spacing w:after="0" w:line="240" w:lineRule="auto"/>
              <w:jc w:val="both"/>
              <w:rPr>
                <w:rFonts w:ascii="Times New Roman" w:eastAsia="Times New Roman" w:hAnsi="Times New Roman" w:cs="Times New Roman"/>
                <w:iCs/>
                <w:sz w:val="24"/>
                <w:szCs w:val="24"/>
                <w:lang w:eastAsia="lv-LV"/>
              </w:rPr>
            </w:pPr>
            <w:r w:rsidRPr="00520D76">
              <w:rPr>
                <w:rFonts w:ascii="Times New Roman" w:eastAsia="Times New Roman" w:hAnsi="Times New Roman" w:cs="Times New Roman"/>
                <w:iCs/>
                <w:sz w:val="24"/>
                <w:szCs w:val="24"/>
                <w:lang w:eastAsia="lv-LV"/>
              </w:rPr>
              <w:t>Eiropas Parlamenta un Padomes 2017. gada 12. decembra Direktīva 2017/2397 par profesionālās kvalifikācijas atzīšanu kuģošanā pa iekšzemes ūdensceļiem un ar ko atceļ Padomes Direktīvu 91/672/EEK un 96/50/EK (turpmāk – Direktīva 2017/2397).</w:t>
            </w:r>
          </w:p>
          <w:p w14:paraId="496A34A1" w14:textId="42D5D1FB" w:rsidR="00E5323B" w:rsidRPr="00E6249A" w:rsidRDefault="00D169B2" w:rsidP="000A64FE">
            <w:pPr>
              <w:spacing w:after="0" w:line="240" w:lineRule="auto"/>
              <w:jc w:val="both"/>
              <w:rPr>
                <w:rFonts w:ascii="Times New Roman" w:eastAsia="Times New Roman" w:hAnsi="Times New Roman" w:cs="Times New Roman"/>
                <w:iCs/>
                <w:sz w:val="24"/>
                <w:szCs w:val="24"/>
                <w:lang w:eastAsia="lv-LV"/>
              </w:rPr>
            </w:pPr>
            <w:r w:rsidRPr="00520D76">
              <w:rPr>
                <w:rFonts w:ascii="Times New Roman" w:eastAsia="Times New Roman" w:hAnsi="Times New Roman" w:cs="Times New Roman"/>
                <w:iCs/>
                <w:sz w:val="24"/>
                <w:szCs w:val="24"/>
                <w:lang w:eastAsia="lv-LV"/>
              </w:rPr>
              <w:t xml:space="preserve">Jūrlietu pārvaldes un jūras drošības likuma </w:t>
            </w:r>
            <w:r w:rsidR="000A64FE" w:rsidRPr="00520D76">
              <w:rPr>
                <w:rFonts w:ascii="Times New Roman" w:eastAsia="Times New Roman" w:hAnsi="Times New Roman" w:cs="Times New Roman"/>
                <w:iCs/>
                <w:sz w:val="24"/>
                <w:szCs w:val="24"/>
                <w:lang w:eastAsia="lv-LV"/>
              </w:rPr>
              <w:t>26.</w:t>
            </w:r>
            <w:r w:rsidRPr="00520D76">
              <w:rPr>
                <w:rFonts w:ascii="Times New Roman" w:eastAsia="Times New Roman" w:hAnsi="Times New Roman" w:cs="Times New Roman"/>
                <w:iCs/>
                <w:sz w:val="24"/>
                <w:szCs w:val="24"/>
                <w:lang w:eastAsia="lv-LV"/>
              </w:rPr>
              <w:t xml:space="preserve"> panta otrā daļa</w:t>
            </w:r>
            <w:r w:rsidR="001457C3" w:rsidRPr="00520D76">
              <w:rPr>
                <w:rFonts w:ascii="Times New Roman" w:eastAsia="Times New Roman" w:hAnsi="Times New Roman" w:cs="Times New Roman"/>
                <w:iCs/>
                <w:sz w:val="24"/>
                <w:szCs w:val="24"/>
                <w:lang w:eastAsia="lv-LV"/>
              </w:rPr>
              <w:t>.</w:t>
            </w:r>
          </w:p>
        </w:tc>
      </w:tr>
      <w:tr w:rsidR="00F05270" w:rsidRPr="00E6249A" w14:paraId="507F70F2" w14:textId="77777777" w:rsidTr="002A18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F1D117" w14:textId="299B6F6D" w:rsidR="004C2D18"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2.</w:t>
            </w:r>
          </w:p>
          <w:p w14:paraId="64E59EB9" w14:textId="77777777" w:rsidR="004C2D18" w:rsidRPr="004C2D18" w:rsidRDefault="004C2D18" w:rsidP="004C2D18">
            <w:pPr>
              <w:rPr>
                <w:rFonts w:ascii="Times New Roman" w:eastAsia="Times New Roman" w:hAnsi="Times New Roman" w:cs="Times New Roman"/>
                <w:sz w:val="24"/>
                <w:szCs w:val="24"/>
                <w:lang w:eastAsia="lv-LV"/>
              </w:rPr>
            </w:pPr>
          </w:p>
          <w:p w14:paraId="20C079B0" w14:textId="77777777" w:rsidR="004C2D18" w:rsidRPr="004C2D18" w:rsidRDefault="004C2D18" w:rsidP="004C2D18">
            <w:pPr>
              <w:rPr>
                <w:rFonts w:ascii="Times New Roman" w:eastAsia="Times New Roman" w:hAnsi="Times New Roman" w:cs="Times New Roman"/>
                <w:sz w:val="24"/>
                <w:szCs w:val="24"/>
                <w:lang w:eastAsia="lv-LV"/>
              </w:rPr>
            </w:pPr>
          </w:p>
          <w:p w14:paraId="5C32E093" w14:textId="77777777" w:rsidR="004C2D18" w:rsidRPr="004C2D18" w:rsidRDefault="004C2D18" w:rsidP="004C2D18">
            <w:pPr>
              <w:rPr>
                <w:rFonts w:ascii="Times New Roman" w:eastAsia="Times New Roman" w:hAnsi="Times New Roman" w:cs="Times New Roman"/>
                <w:sz w:val="24"/>
                <w:szCs w:val="24"/>
                <w:lang w:eastAsia="lv-LV"/>
              </w:rPr>
            </w:pPr>
          </w:p>
          <w:p w14:paraId="3B288EC7" w14:textId="77777777" w:rsidR="004C2D18" w:rsidRPr="004C2D18" w:rsidRDefault="004C2D18" w:rsidP="004C2D18">
            <w:pPr>
              <w:rPr>
                <w:rFonts w:ascii="Times New Roman" w:eastAsia="Times New Roman" w:hAnsi="Times New Roman" w:cs="Times New Roman"/>
                <w:sz w:val="24"/>
                <w:szCs w:val="24"/>
                <w:lang w:eastAsia="lv-LV"/>
              </w:rPr>
            </w:pPr>
          </w:p>
          <w:p w14:paraId="235DB452" w14:textId="77777777" w:rsidR="004C2D18" w:rsidRPr="004C2D18" w:rsidRDefault="004C2D18" w:rsidP="004C2D18">
            <w:pPr>
              <w:rPr>
                <w:rFonts w:ascii="Times New Roman" w:eastAsia="Times New Roman" w:hAnsi="Times New Roman" w:cs="Times New Roman"/>
                <w:sz w:val="24"/>
                <w:szCs w:val="24"/>
                <w:lang w:eastAsia="lv-LV"/>
              </w:rPr>
            </w:pPr>
          </w:p>
          <w:p w14:paraId="6A319CB7" w14:textId="77777777" w:rsidR="004C2D18" w:rsidRPr="004C2D18" w:rsidRDefault="004C2D18" w:rsidP="004C2D18">
            <w:pPr>
              <w:rPr>
                <w:rFonts w:ascii="Times New Roman" w:eastAsia="Times New Roman" w:hAnsi="Times New Roman" w:cs="Times New Roman"/>
                <w:sz w:val="24"/>
                <w:szCs w:val="24"/>
                <w:lang w:eastAsia="lv-LV"/>
              </w:rPr>
            </w:pPr>
          </w:p>
          <w:p w14:paraId="59633845" w14:textId="77777777" w:rsidR="004C2D18" w:rsidRPr="004C2D18" w:rsidRDefault="004C2D18" w:rsidP="004C2D18">
            <w:pPr>
              <w:rPr>
                <w:rFonts w:ascii="Times New Roman" w:eastAsia="Times New Roman" w:hAnsi="Times New Roman" w:cs="Times New Roman"/>
                <w:sz w:val="24"/>
                <w:szCs w:val="24"/>
                <w:lang w:eastAsia="lv-LV"/>
              </w:rPr>
            </w:pPr>
          </w:p>
          <w:p w14:paraId="1B28FBE3" w14:textId="77777777" w:rsidR="004C2D18" w:rsidRPr="004C2D18" w:rsidRDefault="004C2D18" w:rsidP="004C2D18">
            <w:pPr>
              <w:rPr>
                <w:rFonts w:ascii="Times New Roman" w:eastAsia="Times New Roman" w:hAnsi="Times New Roman" w:cs="Times New Roman"/>
                <w:sz w:val="24"/>
                <w:szCs w:val="24"/>
                <w:lang w:eastAsia="lv-LV"/>
              </w:rPr>
            </w:pPr>
          </w:p>
          <w:p w14:paraId="455C2B60" w14:textId="77777777" w:rsidR="004C2D18" w:rsidRPr="004C2D18" w:rsidRDefault="004C2D18" w:rsidP="004C2D18">
            <w:pPr>
              <w:rPr>
                <w:rFonts w:ascii="Times New Roman" w:eastAsia="Times New Roman" w:hAnsi="Times New Roman" w:cs="Times New Roman"/>
                <w:sz w:val="24"/>
                <w:szCs w:val="24"/>
                <w:lang w:eastAsia="lv-LV"/>
              </w:rPr>
            </w:pPr>
          </w:p>
          <w:p w14:paraId="1603424B" w14:textId="77777777" w:rsidR="004C2D18" w:rsidRPr="004C2D18" w:rsidRDefault="004C2D18" w:rsidP="004C2D18">
            <w:pPr>
              <w:rPr>
                <w:rFonts w:ascii="Times New Roman" w:eastAsia="Times New Roman" w:hAnsi="Times New Roman" w:cs="Times New Roman"/>
                <w:sz w:val="24"/>
                <w:szCs w:val="24"/>
                <w:lang w:eastAsia="lv-LV"/>
              </w:rPr>
            </w:pPr>
          </w:p>
          <w:p w14:paraId="6E958EF2" w14:textId="77777777" w:rsidR="004C2D18" w:rsidRPr="004C2D18" w:rsidRDefault="004C2D18" w:rsidP="004C2D18">
            <w:pPr>
              <w:rPr>
                <w:rFonts w:ascii="Times New Roman" w:eastAsia="Times New Roman" w:hAnsi="Times New Roman" w:cs="Times New Roman"/>
                <w:sz w:val="24"/>
                <w:szCs w:val="24"/>
                <w:lang w:eastAsia="lv-LV"/>
              </w:rPr>
            </w:pPr>
          </w:p>
          <w:p w14:paraId="4B0E70AE" w14:textId="1612E987" w:rsidR="00655F2C" w:rsidRPr="004C2D18" w:rsidRDefault="00655F2C" w:rsidP="004C2D18">
            <w:pPr>
              <w:rPr>
                <w:rFonts w:ascii="Times New Roman" w:eastAsia="Times New Roman" w:hAnsi="Times New Roman" w:cs="Times New Roman"/>
                <w:sz w:val="24"/>
                <w:szCs w:val="24"/>
                <w:lang w:eastAsia="lv-LV"/>
              </w:rPr>
            </w:pPr>
          </w:p>
        </w:tc>
        <w:tc>
          <w:tcPr>
            <w:tcW w:w="1348" w:type="pct"/>
            <w:tcBorders>
              <w:top w:val="outset" w:sz="6" w:space="0" w:color="auto"/>
              <w:left w:val="outset" w:sz="6" w:space="0" w:color="auto"/>
              <w:bottom w:val="outset" w:sz="6" w:space="0" w:color="auto"/>
              <w:right w:val="outset" w:sz="6" w:space="0" w:color="auto"/>
            </w:tcBorders>
            <w:hideMark/>
          </w:tcPr>
          <w:p w14:paraId="0AEF323B" w14:textId="77777777" w:rsidR="00A90AEF"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1566B0DE" w14:textId="77777777" w:rsidR="00A90AEF" w:rsidRPr="00E6249A" w:rsidRDefault="00A90AEF" w:rsidP="00A90AEF">
            <w:pPr>
              <w:rPr>
                <w:rFonts w:ascii="Times New Roman" w:eastAsia="Times New Roman" w:hAnsi="Times New Roman" w:cs="Times New Roman"/>
                <w:sz w:val="24"/>
                <w:szCs w:val="24"/>
                <w:lang w:eastAsia="lv-LV"/>
              </w:rPr>
            </w:pPr>
          </w:p>
          <w:p w14:paraId="1F9BE74D" w14:textId="77777777" w:rsidR="00A90AEF" w:rsidRPr="00E6249A" w:rsidRDefault="00A90AEF" w:rsidP="00A90AEF">
            <w:pPr>
              <w:rPr>
                <w:rFonts w:ascii="Times New Roman" w:eastAsia="Times New Roman" w:hAnsi="Times New Roman" w:cs="Times New Roman"/>
                <w:sz w:val="24"/>
                <w:szCs w:val="24"/>
                <w:lang w:eastAsia="lv-LV"/>
              </w:rPr>
            </w:pPr>
          </w:p>
          <w:p w14:paraId="3B0546B8" w14:textId="77777777" w:rsidR="00A90AEF" w:rsidRPr="00E6249A" w:rsidRDefault="00A90AEF" w:rsidP="00A90AEF">
            <w:pPr>
              <w:rPr>
                <w:rFonts w:ascii="Times New Roman" w:eastAsia="Times New Roman" w:hAnsi="Times New Roman" w:cs="Times New Roman"/>
                <w:sz w:val="24"/>
                <w:szCs w:val="24"/>
                <w:lang w:eastAsia="lv-LV"/>
              </w:rPr>
            </w:pPr>
          </w:p>
          <w:p w14:paraId="5476E133" w14:textId="77777777" w:rsidR="00A90AEF" w:rsidRPr="00E6249A" w:rsidRDefault="00A90AEF" w:rsidP="00A90AEF">
            <w:pPr>
              <w:rPr>
                <w:rFonts w:ascii="Times New Roman" w:eastAsia="Times New Roman" w:hAnsi="Times New Roman" w:cs="Times New Roman"/>
                <w:sz w:val="24"/>
                <w:szCs w:val="24"/>
                <w:lang w:eastAsia="lv-LV"/>
              </w:rPr>
            </w:pPr>
          </w:p>
          <w:p w14:paraId="6FAA51FE" w14:textId="1FF23134" w:rsidR="00332A1C" w:rsidRPr="00E6249A" w:rsidRDefault="00332A1C" w:rsidP="00A90AEF">
            <w:pPr>
              <w:rPr>
                <w:rFonts w:ascii="Times New Roman" w:eastAsia="Times New Roman" w:hAnsi="Times New Roman" w:cs="Times New Roman"/>
                <w:sz w:val="24"/>
                <w:szCs w:val="24"/>
                <w:lang w:eastAsia="lv-LV"/>
              </w:rPr>
            </w:pPr>
          </w:p>
          <w:p w14:paraId="5C2F5D59" w14:textId="77777777" w:rsidR="00332A1C" w:rsidRPr="00E6249A" w:rsidRDefault="00332A1C" w:rsidP="00332A1C">
            <w:pPr>
              <w:rPr>
                <w:rFonts w:ascii="Times New Roman" w:eastAsia="Times New Roman" w:hAnsi="Times New Roman" w:cs="Times New Roman"/>
                <w:sz w:val="24"/>
                <w:szCs w:val="24"/>
                <w:lang w:eastAsia="lv-LV"/>
              </w:rPr>
            </w:pPr>
          </w:p>
          <w:p w14:paraId="16BD2E8D" w14:textId="77777777" w:rsidR="00332A1C" w:rsidRPr="00E6249A" w:rsidRDefault="00332A1C" w:rsidP="00332A1C">
            <w:pPr>
              <w:rPr>
                <w:rFonts w:ascii="Times New Roman" w:eastAsia="Times New Roman" w:hAnsi="Times New Roman" w:cs="Times New Roman"/>
                <w:sz w:val="24"/>
                <w:szCs w:val="24"/>
                <w:lang w:eastAsia="lv-LV"/>
              </w:rPr>
            </w:pPr>
          </w:p>
          <w:p w14:paraId="539104E3" w14:textId="77777777" w:rsidR="00332A1C" w:rsidRPr="00E6249A" w:rsidRDefault="00332A1C" w:rsidP="00332A1C">
            <w:pPr>
              <w:rPr>
                <w:rFonts w:ascii="Times New Roman" w:eastAsia="Times New Roman" w:hAnsi="Times New Roman" w:cs="Times New Roman"/>
                <w:sz w:val="24"/>
                <w:szCs w:val="24"/>
                <w:lang w:eastAsia="lv-LV"/>
              </w:rPr>
            </w:pPr>
          </w:p>
          <w:p w14:paraId="1BAC2BF0" w14:textId="77777777" w:rsidR="00332A1C" w:rsidRPr="00E6249A" w:rsidRDefault="00332A1C" w:rsidP="00332A1C">
            <w:pPr>
              <w:rPr>
                <w:rFonts w:ascii="Times New Roman" w:eastAsia="Times New Roman" w:hAnsi="Times New Roman" w:cs="Times New Roman"/>
                <w:sz w:val="24"/>
                <w:szCs w:val="24"/>
                <w:lang w:eastAsia="lv-LV"/>
              </w:rPr>
            </w:pPr>
          </w:p>
          <w:p w14:paraId="22023927" w14:textId="77777777" w:rsidR="00332A1C" w:rsidRPr="00E6249A" w:rsidRDefault="00332A1C" w:rsidP="00332A1C">
            <w:pPr>
              <w:rPr>
                <w:rFonts w:ascii="Times New Roman" w:eastAsia="Times New Roman" w:hAnsi="Times New Roman" w:cs="Times New Roman"/>
                <w:sz w:val="24"/>
                <w:szCs w:val="24"/>
                <w:lang w:eastAsia="lv-LV"/>
              </w:rPr>
            </w:pPr>
          </w:p>
          <w:p w14:paraId="1417E06C" w14:textId="77777777" w:rsidR="00332A1C" w:rsidRPr="00E6249A" w:rsidRDefault="00332A1C" w:rsidP="00332A1C">
            <w:pPr>
              <w:rPr>
                <w:rFonts w:ascii="Times New Roman" w:eastAsia="Times New Roman" w:hAnsi="Times New Roman" w:cs="Times New Roman"/>
                <w:sz w:val="24"/>
                <w:szCs w:val="24"/>
                <w:lang w:eastAsia="lv-LV"/>
              </w:rPr>
            </w:pPr>
          </w:p>
          <w:p w14:paraId="45F20A8C" w14:textId="77777777" w:rsidR="00332A1C" w:rsidRPr="00E6249A" w:rsidRDefault="00332A1C" w:rsidP="00332A1C">
            <w:pPr>
              <w:rPr>
                <w:rFonts w:ascii="Times New Roman" w:eastAsia="Times New Roman" w:hAnsi="Times New Roman" w:cs="Times New Roman"/>
                <w:sz w:val="24"/>
                <w:szCs w:val="24"/>
                <w:lang w:eastAsia="lv-LV"/>
              </w:rPr>
            </w:pPr>
          </w:p>
          <w:p w14:paraId="0E330441" w14:textId="77777777" w:rsidR="00332A1C" w:rsidRPr="00E6249A" w:rsidRDefault="00332A1C" w:rsidP="00332A1C">
            <w:pPr>
              <w:rPr>
                <w:rFonts w:ascii="Times New Roman" w:eastAsia="Times New Roman" w:hAnsi="Times New Roman" w:cs="Times New Roman"/>
                <w:sz w:val="24"/>
                <w:szCs w:val="24"/>
                <w:lang w:eastAsia="lv-LV"/>
              </w:rPr>
            </w:pPr>
          </w:p>
          <w:p w14:paraId="149D6268" w14:textId="77777777" w:rsidR="00332A1C" w:rsidRPr="00E6249A" w:rsidRDefault="00332A1C" w:rsidP="00332A1C">
            <w:pPr>
              <w:rPr>
                <w:rFonts w:ascii="Times New Roman" w:eastAsia="Times New Roman" w:hAnsi="Times New Roman" w:cs="Times New Roman"/>
                <w:sz w:val="24"/>
                <w:szCs w:val="24"/>
                <w:lang w:eastAsia="lv-LV"/>
              </w:rPr>
            </w:pPr>
          </w:p>
          <w:p w14:paraId="291BCA40" w14:textId="77777777" w:rsidR="00332A1C" w:rsidRPr="00E6249A" w:rsidRDefault="00332A1C" w:rsidP="00332A1C">
            <w:pPr>
              <w:rPr>
                <w:rFonts w:ascii="Times New Roman" w:eastAsia="Times New Roman" w:hAnsi="Times New Roman" w:cs="Times New Roman"/>
                <w:sz w:val="24"/>
                <w:szCs w:val="24"/>
                <w:lang w:eastAsia="lv-LV"/>
              </w:rPr>
            </w:pPr>
          </w:p>
          <w:p w14:paraId="29564B98" w14:textId="74D4F72F" w:rsidR="00E5323B" w:rsidRPr="00E6249A" w:rsidRDefault="00E5323B" w:rsidP="00332A1C">
            <w:pPr>
              <w:rPr>
                <w:rFonts w:ascii="Times New Roman" w:eastAsia="Times New Roman" w:hAnsi="Times New Roman" w:cs="Times New Roman"/>
                <w:sz w:val="24"/>
                <w:szCs w:val="24"/>
                <w:lang w:eastAsia="lv-LV"/>
              </w:rPr>
            </w:pPr>
          </w:p>
        </w:tc>
        <w:tc>
          <w:tcPr>
            <w:tcW w:w="3290" w:type="pct"/>
            <w:tcBorders>
              <w:top w:val="outset" w:sz="6" w:space="0" w:color="auto"/>
              <w:left w:val="outset" w:sz="6" w:space="0" w:color="auto"/>
              <w:bottom w:val="outset" w:sz="6" w:space="0" w:color="auto"/>
              <w:right w:val="outset" w:sz="6" w:space="0" w:color="auto"/>
            </w:tcBorders>
          </w:tcPr>
          <w:p w14:paraId="2E39806F"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lastRenderedPageBreak/>
              <w:t xml:space="preserve">Prasības jūrnieku sertificēšanai nosaka Ministru kabineta 2005. gada 22. novembra noteikumi Nr. 895 „Jūrnieku sertificēšanas noteikumi” (turpmāk – Sertificēšanas noteikumi), ar kuriem ir ieviesta Starptautiskās Jūrniecības organizācijas (IMO) 1978. gada Starptautiskā konvencija par jūrnieku sagatavošanu un diplomēšanu, kā arī sardzes pildīšanu (turpmāk –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 un tās Kodekss. </w:t>
            </w:r>
          </w:p>
          <w:p w14:paraId="6F00E455"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 xml:space="preserve">Jūrnieku sagatavošanu un sertificēšanu starptautiskā līmenī reglamentē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 2015. gadā tika pieņemti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konvencijas grozījumi par tādu jūrnieku sagatavošanas un kvalifikācijas prasībām, kuri strādā uz kuģiem, kuros kā degvielu izmanto gāzi vai citas degvielas ar zemu uzliesmošanas temperatūru. 2016. gadā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konvencijā tika pieņemti grozījumi par obligātajām prasībām personālam uz kuģiem polārajos ūdeņos. </w:t>
            </w:r>
          </w:p>
          <w:p w14:paraId="1044920F" w14:textId="7888EEE8"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 xml:space="preserve">Ar Eiropas Parlamenta un Padomes 2008. gada 19. novembra Direktīvu 2008/106/EK par jūrnieku minimālo sagatavotības līmeni (turpmāk – Direktīva 2008/106/EK)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 ir iekļauta Eiropas Savienības tiesību aktos. </w:t>
            </w:r>
          </w:p>
          <w:p w14:paraId="31A4029F" w14:textId="5862BE04"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 xml:space="preserve">Ar Direktīvu 2019/1159 tika grozīta Direktīva 2008/106/EK un atcelta Direktīva 2005/45/EK par dalībvalstu izsniegto </w:t>
            </w:r>
            <w:r w:rsidRPr="000A64FE">
              <w:rPr>
                <w:rFonts w:ascii="Times New Roman" w:eastAsia="Times New Roman" w:hAnsi="Times New Roman" w:cs="Times New Roman"/>
                <w:bCs/>
                <w:iCs/>
                <w:sz w:val="24"/>
                <w:szCs w:val="24"/>
                <w:lang w:eastAsia="lv-LV"/>
              </w:rPr>
              <w:lastRenderedPageBreak/>
              <w:t xml:space="preserve">jūrnieku sertifikātu savstarpēju atzīšanu, ņemot vērā jaunākos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konvencijas grozījumus. </w:t>
            </w:r>
          </w:p>
          <w:p w14:paraId="7C0557F0" w14:textId="7B4A4A62" w:rsidR="000A64FE" w:rsidRPr="00520D76"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 xml:space="preserve">Ar 2018. gada 23. novembra grozījumiem Sertificēšanas noteikumos tika ieviesti </w:t>
            </w:r>
            <w:r w:rsidRPr="004E11C2">
              <w:rPr>
                <w:rFonts w:ascii="Times New Roman" w:eastAsia="Times New Roman" w:hAnsi="Times New Roman" w:cs="Times New Roman"/>
                <w:bCs/>
                <w:i/>
                <w:iCs/>
                <w:sz w:val="24"/>
                <w:szCs w:val="24"/>
                <w:lang w:eastAsia="lv-LV"/>
              </w:rPr>
              <w:t xml:space="preserve">STCW </w:t>
            </w:r>
            <w:r w:rsidRPr="000A64FE">
              <w:rPr>
                <w:rFonts w:ascii="Times New Roman" w:eastAsia="Times New Roman" w:hAnsi="Times New Roman" w:cs="Times New Roman"/>
                <w:bCs/>
                <w:iCs/>
                <w:sz w:val="24"/>
                <w:szCs w:val="24"/>
                <w:lang w:eastAsia="lv-LV"/>
              </w:rPr>
              <w:t xml:space="preserve">konvencijas pēdējie grozījumi, rezultātā lielākā daļa Direktīvas 2019/1159 </w:t>
            </w:r>
            <w:r w:rsidRPr="00520D76">
              <w:rPr>
                <w:rFonts w:ascii="Times New Roman" w:eastAsia="Times New Roman" w:hAnsi="Times New Roman" w:cs="Times New Roman"/>
                <w:bCs/>
                <w:iCs/>
                <w:sz w:val="24"/>
                <w:szCs w:val="24"/>
                <w:lang w:eastAsia="lv-LV"/>
              </w:rPr>
              <w:t>noteikumu jau ir ieviesti Latvijas nacionālajos tiesību aktos.</w:t>
            </w:r>
          </w:p>
          <w:p w14:paraId="740B8BA5" w14:textId="1AE429AB"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520D76">
              <w:rPr>
                <w:rFonts w:ascii="Times New Roman" w:eastAsia="Times New Roman" w:hAnsi="Times New Roman" w:cs="Times New Roman"/>
                <w:bCs/>
                <w:iCs/>
                <w:sz w:val="24"/>
                <w:szCs w:val="24"/>
                <w:lang w:eastAsia="lv-LV"/>
              </w:rPr>
              <w:t>Pamatojoties uz Direktīva</w:t>
            </w:r>
            <w:r w:rsidR="006830CE" w:rsidRPr="00520D76">
              <w:rPr>
                <w:rFonts w:ascii="Times New Roman" w:eastAsia="Times New Roman" w:hAnsi="Times New Roman" w:cs="Times New Roman"/>
                <w:bCs/>
                <w:iCs/>
                <w:sz w:val="24"/>
                <w:szCs w:val="24"/>
                <w:lang w:eastAsia="lv-LV"/>
              </w:rPr>
              <w:t>s 2</w:t>
            </w:r>
            <w:r w:rsidRPr="00520D76">
              <w:rPr>
                <w:rFonts w:ascii="Times New Roman" w:eastAsia="Times New Roman" w:hAnsi="Times New Roman" w:cs="Times New Roman"/>
                <w:bCs/>
                <w:iCs/>
                <w:sz w:val="24"/>
                <w:szCs w:val="24"/>
                <w:lang w:eastAsia="lv-LV"/>
              </w:rPr>
              <w:t>017/2397 39. panta 3. punktu, Latvijas nacionālajos tiesību aktos ir ieviešams Direktīvas</w:t>
            </w:r>
            <w:r w:rsidR="006830CE" w:rsidRPr="00520D76">
              <w:rPr>
                <w:rFonts w:ascii="Times New Roman" w:eastAsia="Times New Roman" w:hAnsi="Times New Roman" w:cs="Times New Roman"/>
                <w:bCs/>
                <w:iCs/>
                <w:sz w:val="24"/>
                <w:szCs w:val="24"/>
                <w:lang w:eastAsia="lv-LV"/>
              </w:rPr>
              <w:t xml:space="preserve"> 2017/2397</w:t>
            </w:r>
            <w:r w:rsidRPr="00520D76">
              <w:rPr>
                <w:rFonts w:ascii="Times New Roman" w:eastAsia="Times New Roman" w:hAnsi="Times New Roman" w:cs="Times New Roman"/>
                <w:bCs/>
                <w:iCs/>
                <w:sz w:val="24"/>
                <w:szCs w:val="24"/>
                <w:lang w:eastAsia="lv-LV"/>
              </w:rPr>
              <w:t xml:space="preserve"> 10. pants attiecībā uz kvalifikācijas sertifikātu un darba uzskaites grāmatiņu atzīšanu, 15. pants par dalībvalstu sadarbību, kā arī 38. pants attiecībā uz derīgu sertifikātu atzīšanu. Direktīvas </w:t>
            </w:r>
            <w:r w:rsidR="006830CE" w:rsidRPr="00520D76">
              <w:rPr>
                <w:rFonts w:ascii="Times New Roman" w:eastAsia="Times New Roman" w:hAnsi="Times New Roman" w:cs="Times New Roman"/>
                <w:bCs/>
                <w:iCs/>
                <w:sz w:val="24"/>
                <w:szCs w:val="24"/>
                <w:lang w:eastAsia="lv-LV"/>
              </w:rPr>
              <w:t xml:space="preserve">2017/2397 </w:t>
            </w:r>
            <w:r w:rsidRPr="00520D76">
              <w:rPr>
                <w:rFonts w:ascii="Times New Roman" w:eastAsia="Times New Roman" w:hAnsi="Times New Roman" w:cs="Times New Roman"/>
                <w:bCs/>
                <w:iCs/>
                <w:sz w:val="24"/>
                <w:szCs w:val="24"/>
                <w:lang w:eastAsia="lv-LV"/>
              </w:rPr>
              <w:t>prasības</w:t>
            </w:r>
            <w:r w:rsidRPr="000A64FE">
              <w:rPr>
                <w:rFonts w:ascii="Times New Roman" w:eastAsia="Times New Roman" w:hAnsi="Times New Roman" w:cs="Times New Roman"/>
                <w:bCs/>
                <w:iCs/>
                <w:sz w:val="24"/>
                <w:szCs w:val="24"/>
                <w:lang w:eastAsia="lv-LV"/>
              </w:rPr>
              <w:t xml:space="preserve"> tiek ieviestas minimālā apjomā, jo Latvijas iekšzemes ūdensceļi nav saistīti ar citas dalībvalsts kuģojamo ūdensceļu tīklu. Direktīva 2017/2397 nosaka, ka jūrnieki ar kvalifikācijas sertifikātiem, kas izsniegti saskaņā ar Direktīvas 2017/2397 nosacījumiem un atbilst noteiktiem minimālajiem standartiem, drīkst veikt profesionālo darbību visos Eiropas Savienības iekšzemes ūdeņos.</w:t>
            </w:r>
          </w:p>
          <w:p w14:paraId="79F923B6"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p>
          <w:p w14:paraId="65DBF72C" w14:textId="77777777" w:rsidR="000A64FE" w:rsidRPr="006830CE" w:rsidRDefault="000A64FE" w:rsidP="000A64FE">
            <w:pPr>
              <w:spacing w:after="0" w:line="240" w:lineRule="auto"/>
              <w:jc w:val="both"/>
              <w:rPr>
                <w:rFonts w:ascii="Times New Roman" w:eastAsia="Times New Roman" w:hAnsi="Times New Roman" w:cs="Times New Roman"/>
                <w:b/>
                <w:iCs/>
                <w:sz w:val="24"/>
                <w:szCs w:val="24"/>
                <w:lang w:eastAsia="lv-LV"/>
              </w:rPr>
            </w:pPr>
            <w:r w:rsidRPr="006830CE">
              <w:rPr>
                <w:rFonts w:ascii="Times New Roman" w:eastAsia="Times New Roman" w:hAnsi="Times New Roman" w:cs="Times New Roman"/>
                <w:b/>
                <w:iCs/>
                <w:sz w:val="24"/>
                <w:szCs w:val="24"/>
                <w:lang w:eastAsia="lv-LV"/>
              </w:rPr>
              <w:t>Galvenās izmaiņas:</w:t>
            </w:r>
          </w:p>
          <w:p w14:paraId="42A64F24" w14:textId="77777777" w:rsidR="000A64FE" w:rsidRPr="00520D76"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1)</w:t>
            </w:r>
            <w:r w:rsidRPr="000A64FE">
              <w:rPr>
                <w:rFonts w:ascii="Times New Roman" w:eastAsia="Times New Roman" w:hAnsi="Times New Roman" w:cs="Times New Roman"/>
                <w:bCs/>
                <w:iCs/>
                <w:sz w:val="24"/>
                <w:szCs w:val="24"/>
                <w:lang w:eastAsia="lv-LV"/>
              </w:rPr>
              <w:tab/>
              <w:t>Ar noteikumu projektu tiek noteikts, ka iekšējo ūdeņu kuģu personāls, kam kvalifikācijas sertifikāts izsniegts atbilstoši Direktīvas 2017/</w:t>
            </w:r>
            <w:r w:rsidRPr="00520D76">
              <w:rPr>
                <w:rFonts w:ascii="Times New Roman" w:eastAsia="Times New Roman" w:hAnsi="Times New Roman" w:cs="Times New Roman"/>
                <w:bCs/>
                <w:iCs/>
                <w:sz w:val="24"/>
                <w:szCs w:val="24"/>
                <w:lang w:eastAsia="lv-LV"/>
              </w:rPr>
              <w:t>2397 prasībām, ir tiesīgs strādāt iekšējos ūdeņos uz Latvijas Republikas karoga kuģiem.</w:t>
            </w:r>
          </w:p>
          <w:p w14:paraId="0136F119" w14:textId="466555F4" w:rsidR="000A64FE" w:rsidRPr="000A64FE" w:rsidRDefault="006830CE" w:rsidP="000A64FE">
            <w:pPr>
              <w:spacing w:after="0" w:line="240" w:lineRule="auto"/>
              <w:jc w:val="both"/>
              <w:rPr>
                <w:rFonts w:ascii="Times New Roman" w:eastAsia="Times New Roman" w:hAnsi="Times New Roman" w:cs="Times New Roman"/>
                <w:bCs/>
                <w:iCs/>
                <w:sz w:val="24"/>
                <w:szCs w:val="24"/>
                <w:lang w:eastAsia="lv-LV"/>
              </w:rPr>
            </w:pPr>
            <w:r w:rsidRPr="00520D76">
              <w:rPr>
                <w:rFonts w:ascii="Times New Roman" w:eastAsia="Times New Roman" w:hAnsi="Times New Roman" w:cs="Times New Roman"/>
                <w:bCs/>
                <w:iCs/>
                <w:sz w:val="24"/>
                <w:szCs w:val="24"/>
                <w:lang w:eastAsia="lv-LV"/>
              </w:rPr>
              <w:t xml:space="preserve">VSIA “Latvijas Jūras administrācija” Jūrnieku reģistrs (turpmāk – </w:t>
            </w:r>
            <w:r w:rsidR="000A64FE" w:rsidRPr="00520D76">
              <w:rPr>
                <w:rFonts w:ascii="Times New Roman" w:eastAsia="Times New Roman" w:hAnsi="Times New Roman" w:cs="Times New Roman"/>
                <w:bCs/>
                <w:iCs/>
                <w:sz w:val="24"/>
                <w:szCs w:val="24"/>
                <w:lang w:eastAsia="lv-LV"/>
              </w:rPr>
              <w:t>Latvijas Jūrnieku reģistrs</w:t>
            </w:r>
            <w:r>
              <w:rPr>
                <w:rFonts w:ascii="Times New Roman" w:eastAsia="Times New Roman" w:hAnsi="Times New Roman" w:cs="Times New Roman"/>
                <w:bCs/>
                <w:iCs/>
                <w:sz w:val="24"/>
                <w:szCs w:val="24"/>
                <w:lang w:eastAsia="lv-LV"/>
              </w:rPr>
              <w:t>)</w:t>
            </w:r>
            <w:r w:rsidR="000A64FE" w:rsidRPr="000A64FE">
              <w:rPr>
                <w:rFonts w:ascii="Times New Roman" w:eastAsia="Times New Roman" w:hAnsi="Times New Roman" w:cs="Times New Roman"/>
                <w:bCs/>
                <w:iCs/>
                <w:sz w:val="24"/>
                <w:szCs w:val="24"/>
                <w:lang w:eastAsia="lv-LV"/>
              </w:rPr>
              <w:t xml:space="preserve"> pārbauda ārvalstīs atbilstoši Direktīvas 2017/2397 prasībām izsniegtu iekšējo ūdeņu kuģu personāla kompetences sertifikātu autentiskumu un izsniedz kompetences sertifikāta atzīšanas apstiprinājumu iekšējo ūdeņu kuģu kapteiņiem un virsniekiem.</w:t>
            </w:r>
          </w:p>
          <w:p w14:paraId="33CBF777"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Ja uz Direktīvas 2017/2397 pamata izsniegts kvalifikācijas sertifikāts neatbilst Direktīvas 2017/2397 nosacījumiem, Latvijas Jūrnieku reģistrs pieprasa izdevējiestādei apturēt kvalifikācijas sertifikātu un par to informē Satiksmes ministriju, Satiksmes ministrija informē Eiropas Komisiju.</w:t>
            </w:r>
          </w:p>
          <w:p w14:paraId="32E17097"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2)</w:t>
            </w:r>
            <w:r w:rsidRPr="000A64FE">
              <w:rPr>
                <w:rFonts w:ascii="Times New Roman" w:eastAsia="Times New Roman" w:hAnsi="Times New Roman" w:cs="Times New Roman"/>
                <w:bCs/>
                <w:iCs/>
                <w:sz w:val="24"/>
                <w:szCs w:val="24"/>
                <w:lang w:eastAsia="lv-LV"/>
              </w:rPr>
              <w:tab/>
              <w:t xml:space="preserve">Precizēta Eiropas Savienības dalībvalstī un trešajā valstī izsniegta kvalifikācijas sertifikāta atzīšana. Latvijas Jūrnieku reģistrs atzīst prasmju sertifikātu, kas izsniegts saskaņā ar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konvencijas V/1-1 un V/1-2 noteikumu. </w:t>
            </w:r>
          </w:p>
          <w:p w14:paraId="0DA92677" w14:textId="16ECCE8F"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3)</w:t>
            </w:r>
            <w:r w:rsidRPr="000A64FE">
              <w:rPr>
                <w:rFonts w:ascii="Times New Roman" w:eastAsia="Times New Roman" w:hAnsi="Times New Roman" w:cs="Times New Roman"/>
                <w:bCs/>
                <w:iCs/>
                <w:sz w:val="24"/>
                <w:szCs w:val="24"/>
                <w:lang w:eastAsia="lv-LV"/>
              </w:rPr>
              <w:tab/>
              <w:t xml:space="preserve">Pamatojoties uz Direktīvas 2019/1159 nosacījumiem, noteikumu projektā ir ietverts, ka statistikas un politikas veidošanas </w:t>
            </w:r>
            <w:r w:rsidRPr="00D359D6">
              <w:rPr>
                <w:rFonts w:ascii="Times New Roman" w:eastAsia="Times New Roman" w:hAnsi="Times New Roman" w:cs="Times New Roman"/>
                <w:bCs/>
                <w:iCs/>
                <w:sz w:val="24"/>
                <w:szCs w:val="24"/>
                <w:lang w:eastAsia="lv-LV"/>
              </w:rPr>
              <w:t>nolūkiem Satiksmes ministrija nosūta Eiropas Komisijai informāciju par</w:t>
            </w:r>
            <w:r w:rsidRPr="000A64FE">
              <w:rPr>
                <w:rFonts w:ascii="Times New Roman" w:eastAsia="Times New Roman" w:hAnsi="Times New Roman" w:cs="Times New Roman"/>
                <w:bCs/>
                <w:iCs/>
                <w:sz w:val="24"/>
                <w:szCs w:val="24"/>
                <w:lang w:eastAsia="lv-LV"/>
              </w:rPr>
              <w:t xml:space="preserve"> kompetences sertifikātu un prasm</w:t>
            </w:r>
            <w:r w:rsidR="00DB47B0">
              <w:rPr>
                <w:rFonts w:ascii="Times New Roman" w:eastAsia="Times New Roman" w:hAnsi="Times New Roman" w:cs="Times New Roman"/>
                <w:bCs/>
                <w:iCs/>
                <w:sz w:val="24"/>
                <w:szCs w:val="24"/>
                <w:lang w:eastAsia="lv-LV"/>
              </w:rPr>
              <w:t>ju</w:t>
            </w:r>
            <w:r w:rsidRPr="000A64FE">
              <w:rPr>
                <w:rFonts w:ascii="Times New Roman" w:eastAsia="Times New Roman" w:hAnsi="Times New Roman" w:cs="Times New Roman"/>
                <w:bCs/>
                <w:iCs/>
                <w:sz w:val="24"/>
                <w:szCs w:val="24"/>
                <w:lang w:eastAsia="lv-LV"/>
              </w:rPr>
              <w:t xml:space="preserve"> sertifikātu atzīšanas apstiprinājumu skaitu, kas izsniegti vienpusējas atzīšanas gadījumā. Papildus ir ietverts pienākums </w:t>
            </w:r>
            <w:r w:rsidR="00DB47B0">
              <w:rPr>
                <w:rFonts w:ascii="Times New Roman" w:eastAsia="Times New Roman" w:hAnsi="Times New Roman" w:cs="Times New Roman"/>
                <w:bCs/>
                <w:iCs/>
                <w:sz w:val="24"/>
                <w:szCs w:val="24"/>
                <w:lang w:eastAsia="lv-LV"/>
              </w:rPr>
              <w:t xml:space="preserve">Latvijas Jūrnieku reģistram </w:t>
            </w:r>
            <w:r w:rsidRPr="00DB47B0">
              <w:rPr>
                <w:rFonts w:ascii="Times New Roman" w:eastAsia="Times New Roman" w:hAnsi="Times New Roman" w:cs="Times New Roman"/>
                <w:bCs/>
                <w:iCs/>
                <w:sz w:val="24"/>
                <w:szCs w:val="24"/>
                <w:lang w:eastAsia="lv-LV"/>
              </w:rPr>
              <w:t xml:space="preserve">ziņot Eiropas Komisijai informāciju, kas noteikta </w:t>
            </w:r>
            <w:r w:rsidRPr="00DB47B0">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kodeksa A-I/2 standarta 9. punktā, par kvalifikācijas sertifikātiem, kas izsniegti atbilstoši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konvencijas II, III un VII nodaļas prasībām, un ārvalsts kvalifikācijas sertifikātu atzīšanas apstiprinājumiem, kas </w:t>
            </w:r>
            <w:r w:rsidRPr="000A64FE">
              <w:rPr>
                <w:rFonts w:ascii="Times New Roman" w:eastAsia="Times New Roman" w:hAnsi="Times New Roman" w:cs="Times New Roman"/>
                <w:bCs/>
                <w:iCs/>
                <w:sz w:val="24"/>
                <w:szCs w:val="24"/>
                <w:lang w:eastAsia="lv-LV"/>
              </w:rPr>
              <w:lastRenderedPageBreak/>
              <w:t xml:space="preserve">iesniegti atbilstoši </w:t>
            </w:r>
            <w:r w:rsidRPr="004E11C2">
              <w:rPr>
                <w:rFonts w:ascii="Times New Roman" w:eastAsia="Times New Roman" w:hAnsi="Times New Roman" w:cs="Times New Roman"/>
                <w:bCs/>
                <w:i/>
                <w:iCs/>
                <w:sz w:val="24"/>
                <w:szCs w:val="24"/>
                <w:lang w:eastAsia="lv-LV"/>
              </w:rPr>
              <w:t>STCW</w:t>
            </w:r>
            <w:r w:rsidRPr="000A64FE">
              <w:rPr>
                <w:rFonts w:ascii="Times New Roman" w:eastAsia="Times New Roman" w:hAnsi="Times New Roman" w:cs="Times New Roman"/>
                <w:bCs/>
                <w:iCs/>
                <w:sz w:val="24"/>
                <w:szCs w:val="24"/>
                <w:lang w:eastAsia="lv-LV"/>
              </w:rPr>
              <w:t xml:space="preserve"> konvencijas I/10 noteikuma prasībām. </w:t>
            </w:r>
          </w:p>
          <w:p w14:paraId="2D3557A5"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4)</w:t>
            </w:r>
            <w:r w:rsidRPr="000A64FE">
              <w:rPr>
                <w:rFonts w:ascii="Times New Roman" w:eastAsia="Times New Roman" w:hAnsi="Times New Roman" w:cs="Times New Roman"/>
                <w:bCs/>
                <w:iCs/>
                <w:sz w:val="24"/>
                <w:szCs w:val="24"/>
                <w:lang w:eastAsia="lv-LV"/>
              </w:rPr>
              <w:tab/>
              <w:t>Bocmaņa vai sūkņu mašīnista kvalifikācijas iegūšanai turpmāk būs nepieciešams saņemt ne tikai kuģa kapteiņa pozitīvu vērtējumu, bet arī kuģa kapteiņa rekomendāciju kvalifikācijas saņemšanai. Līdz šim kuģa kapteinis vērtēja pretendenta attieksmi un darbspējas kopumā, taču ar noteikumu projektu paredzēts, ka kuģa kapteinim papildus būs jāvērtē pretendenta attieksme, prasmes un darbspējas attiecīgās kvalifikācijas saņemšanai.</w:t>
            </w:r>
          </w:p>
          <w:p w14:paraId="72701DCE"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5)</w:t>
            </w:r>
            <w:r w:rsidRPr="000A64FE">
              <w:rPr>
                <w:rFonts w:ascii="Times New Roman" w:eastAsia="Times New Roman" w:hAnsi="Times New Roman" w:cs="Times New Roman"/>
                <w:bCs/>
                <w:iCs/>
                <w:sz w:val="24"/>
                <w:szCs w:val="24"/>
                <w:lang w:eastAsia="lv-LV"/>
              </w:rPr>
              <w:tab/>
              <w:t>Šobrīd esošais regulējums nosaka, ka stjuarta kvalifikācijas pretendentam ir jāapgūst Satiksmes ministrijas sertificēta mācību kursu programma par higiēnas prasībām uz kuģa. Noteikumu projekts pieļauj izņēmuma gadījumu – iepriekš minētā mācību kursu programma nebūs obligāta pretendentam, kurš mācību ietvaros apgūst kuģa pavāra profesionālās kvalifikācijas prasībām atbilstošu izglītības programmu, kas iekļauj apmācību par higiēnas prasībām.</w:t>
            </w:r>
          </w:p>
          <w:p w14:paraId="52346D9F"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6)</w:t>
            </w:r>
            <w:r w:rsidRPr="000A64FE">
              <w:rPr>
                <w:rFonts w:ascii="Times New Roman" w:eastAsia="Times New Roman" w:hAnsi="Times New Roman" w:cs="Times New Roman"/>
                <w:bCs/>
                <w:iCs/>
                <w:sz w:val="24"/>
                <w:szCs w:val="24"/>
                <w:lang w:eastAsia="lv-LV"/>
              </w:rPr>
              <w:tab/>
              <w:t>Jūrniecības profesionālās izglītības iestādēm turpmāk tiek uzlikts pienākums izvērtēt pretendenta darbnīcu prakses vietas un īstenošanas laika atbilstību un izsniegt pretendentam dokumentāru apliecinājumu – izziņu, par darbnīcu prakses īstenošanas ilgumu dienās.</w:t>
            </w:r>
          </w:p>
          <w:p w14:paraId="405E3FB5"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7)</w:t>
            </w:r>
            <w:r w:rsidRPr="000A64FE">
              <w:rPr>
                <w:rFonts w:ascii="Times New Roman" w:eastAsia="Times New Roman" w:hAnsi="Times New Roman" w:cs="Times New Roman"/>
                <w:bCs/>
                <w:iCs/>
                <w:sz w:val="24"/>
                <w:szCs w:val="24"/>
                <w:lang w:eastAsia="lv-LV"/>
              </w:rPr>
              <w:tab/>
              <w:t xml:space="preserve">Ar noteikumu projektu tiek precizēts, ka tankkuģu prasmju sertifikāta atkārtotai saņemšanai pretendents kompetences uzturēšanas nepārtrauktību varēs apliecināt, ja pēdējo piecu gadu laikā pretendents vismaz trīs mēnešus būs strādājis uz attiecīga tipa tankkuģiem jūrā un pildījis esošajam tankkuģu prasmju sertifikātam atbilstošus pienākumus. </w:t>
            </w:r>
          </w:p>
          <w:p w14:paraId="7ABEDF83"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8)</w:t>
            </w:r>
            <w:r w:rsidRPr="000A64FE">
              <w:rPr>
                <w:rFonts w:ascii="Times New Roman" w:eastAsia="Times New Roman" w:hAnsi="Times New Roman" w:cs="Times New Roman"/>
                <w:bCs/>
                <w:iCs/>
                <w:sz w:val="24"/>
                <w:szCs w:val="24"/>
                <w:lang w:eastAsia="lv-LV"/>
              </w:rPr>
              <w:tab/>
              <w:t>Noteikumu projekts nosaka, ka Latvijas Jūrnieku reģistra izsniegts derīgs kvalifikācijas sertifikāts zvejas kuģa personālam apliecina, ka ir izpildītas nepieciešamās kompetences prasības drošības jomā. Darbam jūrā jūrniekam nav nepieciešams papildu apliecinājums par mācību kursa “Zvejas kuģa personāla pamatkurss drošībā” apguvi.</w:t>
            </w:r>
          </w:p>
          <w:p w14:paraId="07919FDA"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9)</w:t>
            </w:r>
            <w:r w:rsidRPr="000A64FE">
              <w:rPr>
                <w:rFonts w:ascii="Times New Roman" w:eastAsia="Times New Roman" w:hAnsi="Times New Roman" w:cs="Times New Roman"/>
                <w:bCs/>
                <w:iCs/>
                <w:sz w:val="24"/>
                <w:szCs w:val="24"/>
                <w:lang w:eastAsia="lv-LV"/>
              </w:rPr>
              <w:tab/>
              <w:t xml:space="preserve">Ar noteikumu projektu tiek precizēts, ka izglītības iestādes vai mācību centra dokumentārs apliecinājums par 1) tankkuģu pamatkursa vai paplašinātā kursa; 2) </w:t>
            </w:r>
            <w:r w:rsidRPr="004E11C2">
              <w:rPr>
                <w:rFonts w:ascii="Times New Roman" w:eastAsia="Times New Roman" w:hAnsi="Times New Roman" w:cs="Times New Roman"/>
                <w:bCs/>
                <w:i/>
                <w:iCs/>
                <w:sz w:val="24"/>
                <w:szCs w:val="24"/>
                <w:lang w:eastAsia="lv-LV"/>
              </w:rPr>
              <w:t>IGF</w:t>
            </w:r>
            <w:r w:rsidRPr="000A64FE">
              <w:rPr>
                <w:rFonts w:ascii="Times New Roman" w:eastAsia="Times New Roman" w:hAnsi="Times New Roman" w:cs="Times New Roman"/>
                <w:bCs/>
                <w:iCs/>
                <w:sz w:val="24"/>
                <w:szCs w:val="24"/>
                <w:lang w:eastAsia="lv-LV"/>
              </w:rPr>
              <w:t xml:space="preserve"> pamatkursa vai paplašinātā kursa; 3) pamatapmācības vai paplašinātās apmācības kursa darbam uz kuģiem polārajos ūdeņos sekmīgu apguvi nav derīgs darbam uz kuģiem jūrā.</w:t>
            </w:r>
          </w:p>
          <w:p w14:paraId="78AE1A06" w14:textId="77777777"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10)</w:t>
            </w:r>
            <w:r w:rsidRPr="000A64FE">
              <w:rPr>
                <w:rFonts w:ascii="Times New Roman" w:eastAsia="Times New Roman" w:hAnsi="Times New Roman" w:cs="Times New Roman"/>
                <w:bCs/>
                <w:iCs/>
                <w:sz w:val="24"/>
                <w:szCs w:val="24"/>
                <w:lang w:eastAsia="lv-LV"/>
              </w:rPr>
              <w:tab/>
              <w:t>Noteikumu projekts nosaka, ka Latvijas Jūrnieku reģistrs ir tiesīgs neatzīt, kā arī anulēt datu bāzes ierakstus par jūras cenzu, kas iegūts prettiesiskas rīcības rezultātā, tostarp, ja kvalifikācijas sertifikāts satur viltojuma pazīmes, labojumus vai nesankcionētus ierakstus vai, ja tas ir iegūts, strādājot ar nederīgu kvalifikācijas sertifikātu vai ar kvalifikācijas sertifikātu, kura darbība ir bijusi apturēta.</w:t>
            </w:r>
          </w:p>
          <w:p w14:paraId="4A296259" w14:textId="088CB262" w:rsidR="000A64FE" w:rsidRPr="000A64FE" w:rsidRDefault="000A64FE" w:rsidP="000A64FE">
            <w:pPr>
              <w:spacing w:after="0" w:line="240" w:lineRule="auto"/>
              <w:jc w:val="both"/>
              <w:rPr>
                <w:rFonts w:ascii="Times New Roman" w:eastAsia="Times New Roman" w:hAnsi="Times New Roman" w:cs="Times New Roman"/>
                <w:bCs/>
                <w:iCs/>
                <w:sz w:val="24"/>
                <w:szCs w:val="24"/>
                <w:lang w:eastAsia="lv-LV"/>
              </w:rPr>
            </w:pPr>
            <w:r w:rsidRPr="000A64FE">
              <w:rPr>
                <w:rFonts w:ascii="Times New Roman" w:eastAsia="Times New Roman" w:hAnsi="Times New Roman" w:cs="Times New Roman"/>
                <w:bCs/>
                <w:iCs/>
                <w:sz w:val="24"/>
                <w:szCs w:val="24"/>
                <w:lang w:eastAsia="lv-LV"/>
              </w:rPr>
              <w:t>11)</w:t>
            </w:r>
            <w:r w:rsidRPr="000A64FE">
              <w:rPr>
                <w:rFonts w:ascii="Times New Roman" w:eastAsia="Times New Roman" w:hAnsi="Times New Roman" w:cs="Times New Roman"/>
                <w:bCs/>
                <w:iCs/>
                <w:sz w:val="24"/>
                <w:szCs w:val="24"/>
                <w:lang w:eastAsia="lv-LV"/>
              </w:rPr>
              <w:tab/>
              <w:t xml:space="preserve">Ar noteikumu projektu </w:t>
            </w:r>
            <w:r w:rsidRPr="00520D76">
              <w:rPr>
                <w:rFonts w:ascii="Times New Roman" w:eastAsia="Times New Roman" w:hAnsi="Times New Roman" w:cs="Times New Roman"/>
                <w:bCs/>
                <w:iCs/>
                <w:sz w:val="24"/>
                <w:szCs w:val="24"/>
                <w:lang w:eastAsia="lv-LV"/>
              </w:rPr>
              <w:t xml:space="preserve">papildināti </w:t>
            </w:r>
            <w:r w:rsidR="006830CE" w:rsidRPr="00520D76">
              <w:rPr>
                <w:rFonts w:ascii="Times New Roman" w:eastAsia="Times New Roman" w:hAnsi="Times New Roman" w:cs="Times New Roman"/>
                <w:bCs/>
                <w:iCs/>
                <w:sz w:val="24"/>
                <w:szCs w:val="24"/>
                <w:lang w:eastAsia="lv-LV"/>
              </w:rPr>
              <w:t xml:space="preserve">Sertificēšanas </w:t>
            </w:r>
            <w:r w:rsidRPr="00520D76">
              <w:rPr>
                <w:rFonts w:ascii="Times New Roman" w:eastAsia="Times New Roman" w:hAnsi="Times New Roman" w:cs="Times New Roman"/>
                <w:bCs/>
                <w:iCs/>
                <w:sz w:val="24"/>
                <w:szCs w:val="24"/>
                <w:lang w:eastAsia="lv-LV"/>
              </w:rPr>
              <w:t xml:space="preserve">noteikumu punkti par kvalifikāciju sertifikātu derīguma termiņa aprēķināšanas kārtību. Ietverti papildus citi grozījumi, </w:t>
            </w:r>
            <w:r w:rsidRPr="00520D76">
              <w:rPr>
                <w:rFonts w:ascii="Times New Roman" w:eastAsia="Times New Roman" w:hAnsi="Times New Roman" w:cs="Times New Roman"/>
                <w:bCs/>
                <w:iCs/>
                <w:sz w:val="24"/>
                <w:szCs w:val="24"/>
                <w:lang w:eastAsia="lv-LV"/>
              </w:rPr>
              <w:lastRenderedPageBreak/>
              <w:t xml:space="preserve">lai pilnveidotu, uzlabotu un nostiprinātu praksē esošo jūrnieku sertificēšanas kārtību, kā arī novērstu praksē konstatētās problēmas normatīvā regulējuma līmenī. Tiek precizētas </w:t>
            </w:r>
            <w:r w:rsidR="006830CE" w:rsidRPr="00520D76">
              <w:rPr>
                <w:rFonts w:ascii="Times New Roman" w:eastAsia="Times New Roman" w:hAnsi="Times New Roman" w:cs="Times New Roman"/>
                <w:bCs/>
                <w:iCs/>
                <w:sz w:val="24"/>
                <w:szCs w:val="24"/>
                <w:lang w:eastAsia="lv-LV"/>
              </w:rPr>
              <w:t xml:space="preserve">Sertificēšanas </w:t>
            </w:r>
            <w:r w:rsidRPr="00520D76">
              <w:rPr>
                <w:rFonts w:ascii="Times New Roman" w:eastAsia="Times New Roman" w:hAnsi="Times New Roman" w:cs="Times New Roman"/>
                <w:bCs/>
                <w:iCs/>
                <w:sz w:val="24"/>
                <w:szCs w:val="24"/>
                <w:lang w:eastAsia="lv-LV"/>
              </w:rPr>
              <w:t xml:space="preserve">noteikumos esošās atsauces uz </w:t>
            </w:r>
            <w:r w:rsidRPr="004E11C2">
              <w:rPr>
                <w:rFonts w:ascii="Times New Roman" w:eastAsia="Times New Roman" w:hAnsi="Times New Roman" w:cs="Times New Roman"/>
                <w:bCs/>
                <w:i/>
                <w:iCs/>
                <w:sz w:val="24"/>
                <w:szCs w:val="24"/>
                <w:lang w:eastAsia="lv-LV"/>
              </w:rPr>
              <w:t>STCW</w:t>
            </w:r>
            <w:r w:rsidRPr="00520D76">
              <w:rPr>
                <w:rFonts w:ascii="Times New Roman" w:eastAsia="Times New Roman" w:hAnsi="Times New Roman" w:cs="Times New Roman"/>
                <w:bCs/>
                <w:iCs/>
                <w:sz w:val="24"/>
                <w:szCs w:val="24"/>
                <w:lang w:eastAsia="lv-LV"/>
              </w:rPr>
              <w:t xml:space="preserve"> konvencijas atbilstošo punktu, ieviesti vienoti</w:t>
            </w:r>
            <w:r w:rsidRPr="000A64FE">
              <w:rPr>
                <w:rFonts w:ascii="Times New Roman" w:eastAsia="Times New Roman" w:hAnsi="Times New Roman" w:cs="Times New Roman"/>
                <w:bCs/>
                <w:iCs/>
                <w:sz w:val="24"/>
                <w:szCs w:val="24"/>
                <w:lang w:eastAsia="lv-LV"/>
              </w:rPr>
              <w:t xml:space="preserve"> termini, kā arī veikti precizējumi, ņemot vērā šobrīd pastāvošo situāciju jūrniecības nozarē. </w:t>
            </w:r>
          </w:p>
          <w:p w14:paraId="56748E2E" w14:textId="561039FB" w:rsidR="000D4681" w:rsidRPr="000A2EF6" w:rsidRDefault="000A64FE" w:rsidP="000A64FE">
            <w:pPr>
              <w:spacing w:after="0" w:line="240" w:lineRule="auto"/>
              <w:jc w:val="both"/>
              <w:rPr>
                <w:rFonts w:ascii="Times New Roman" w:eastAsia="Times New Roman" w:hAnsi="Times New Roman" w:cs="Times New Roman"/>
                <w:bCs/>
                <w:iCs/>
                <w:sz w:val="24"/>
                <w:szCs w:val="24"/>
                <w:u w:val="single"/>
                <w:lang w:eastAsia="lv-LV"/>
              </w:rPr>
            </w:pPr>
            <w:r w:rsidRPr="000A64FE">
              <w:rPr>
                <w:rFonts w:ascii="Times New Roman" w:eastAsia="Times New Roman" w:hAnsi="Times New Roman" w:cs="Times New Roman"/>
                <w:bCs/>
                <w:iCs/>
                <w:sz w:val="24"/>
                <w:szCs w:val="24"/>
                <w:lang w:eastAsia="lv-LV"/>
              </w:rPr>
              <w:t>Noteikumu projektā ir precizēts VSIA “Latvijas Jūras administrācija” nosaukums, ņemot vērā LR Uzņēmumu reģistra lēmumu par “Latvijas Jūras administrācijas” tiesiskās formas un nosaukuma maiņu uz valsts sabiedrība ar ierobežotu atbildību.</w:t>
            </w:r>
          </w:p>
        </w:tc>
      </w:tr>
      <w:tr w:rsidR="00F05270" w:rsidRPr="00E6249A" w14:paraId="738BE9A8" w14:textId="77777777" w:rsidTr="002A18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1CE5E1" w14:textId="54C18D18"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lastRenderedPageBreak/>
              <w:t>3.</w:t>
            </w:r>
          </w:p>
        </w:tc>
        <w:tc>
          <w:tcPr>
            <w:tcW w:w="1348" w:type="pct"/>
            <w:tcBorders>
              <w:top w:val="outset" w:sz="6" w:space="0" w:color="auto"/>
              <w:left w:val="outset" w:sz="6" w:space="0" w:color="auto"/>
              <w:bottom w:val="outset" w:sz="6" w:space="0" w:color="auto"/>
              <w:right w:val="outset" w:sz="6" w:space="0" w:color="auto"/>
            </w:tcBorders>
            <w:hideMark/>
          </w:tcPr>
          <w:p w14:paraId="23ABCD25"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290" w:type="pct"/>
            <w:tcBorders>
              <w:top w:val="outset" w:sz="6" w:space="0" w:color="auto"/>
              <w:left w:val="outset" w:sz="6" w:space="0" w:color="auto"/>
              <w:bottom w:val="outset" w:sz="6" w:space="0" w:color="auto"/>
              <w:right w:val="outset" w:sz="6" w:space="0" w:color="auto"/>
            </w:tcBorders>
            <w:hideMark/>
          </w:tcPr>
          <w:p w14:paraId="10E9C735" w14:textId="7495ADD0" w:rsidR="00E5323B" w:rsidRPr="00E6249A" w:rsidRDefault="007F6154" w:rsidP="00206B33">
            <w:pPr>
              <w:spacing w:after="0" w:line="240" w:lineRule="auto"/>
              <w:jc w:val="both"/>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Satiksmes ministrija</w:t>
            </w:r>
            <w:r w:rsidR="000A64FE">
              <w:rPr>
                <w:rFonts w:ascii="Times New Roman" w:eastAsia="Times New Roman" w:hAnsi="Times New Roman" w:cs="Times New Roman"/>
                <w:iCs/>
                <w:sz w:val="24"/>
                <w:szCs w:val="24"/>
                <w:lang w:eastAsia="lv-LV"/>
              </w:rPr>
              <w:t>,</w:t>
            </w:r>
            <w:r w:rsidRPr="00E6249A">
              <w:rPr>
                <w:rFonts w:ascii="Times New Roman" w:eastAsia="Times New Roman" w:hAnsi="Times New Roman" w:cs="Times New Roman"/>
                <w:iCs/>
                <w:sz w:val="24"/>
                <w:szCs w:val="24"/>
                <w:lang w:eastAsia="lv-LV"/>
              </w:rPr>
              <w:t xml:space="preserve"> </w:t>
            </w:r>
            <w:r w:rsidR="000A64FE">
              <w:rPr>
                <w:rFonts w:ascii="Times New Roman" w:eastAsia="Times New Roman" w:hAnsi="Times New Roman" w:cs="Times New Roman"/>
                <w:iCs/>
                <w:sz w:val="24"/>
                <w:szCs w:val="24"/>
                <w:lang w:eastAsia="lv-LV"/>
              </w:rPr>
              <w:t xml:space="preserve">VSIA </w:t>
            </w:r>
            <w:r w:rsidR="00A96F88">
              <w:rPr>
                <w:rFonts w:ascii="Times New Roman" w:eastAsia="Times New Roman" w:hAnsi="Times New Roman" w:cs="Times New Roman"/>
                <w:bCs/>
                <w:iCs/>
                <w:sz w:val="24"/>
                <w:szCs w:val="24"/>
                <w:lang w:eastAsia="lv-LV"/>
              </w:rPr>
              <w:t>“</w:t>
            </w:r>
            <w:r w:rsidR="00206B33">
              <w:rPr>
                <w:rFonts w:ascii="Times New Roman" w:eastAsia="Times New Roman" w:hAnsi="Times New Roman" w:cs="Times New Roman"/>
                <w:bCs/>
                <w:iCs/>
                <w:sz w:val="24"/>
                <w:szCs w:val="24"/>
                <w:lang w:eastAsia="lv-LV"/>
              </w:rPr>
              <w:t>Latvijas Jūras administrācija</w:t>
            </w:r>
            <w:r w:rsidR="00A96F88">
              <w:rPr>
                <w:rFonts w:ascii="Times New Roman" w:eastAsia="Times New Roman" w:hAnsi="Times New Roman" w:cs="Times New Roman"/>
                <w:bCs/>
                <w:iCs/>
                <w:sz w:val="24"/>
                <w:szCs w:val="24"/>
                <w:lang w:eastAsia="lv-LV"/>
              </w:rPr>
              <w:t>”</w:t>
            </w:r>
            <w:r w:rsidR="00F002B3" w:rsidRPr="00E6249A">
              <w:rPr>
                <w:rFonts w:ascii="Times New Roman" w:eastAsia="Times New Roman" w:hAnsi="Times New Roman" w:cs="Times New Roman"/>
                <w:iCs/>
                <w:sz w:val="24"/>
                <w:szCs w:val="24"/>
                <w:lang w:eastAsia="lv-LV"/>
              </w:rPr>
              <w:t>.</w:t>
            </w:r>
          </w:p>
        </w:tc>
      </w:tr>
      <w:tr w:rsidR="00E5323B" w:rsidRPr="00E6249A" w14:paraId="7549885D" w14:textId="77777777" w:rsidTr="00740B4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98FD514"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4.</w:t>
            </w:r>
          </w:p>
        </w:tc>
        <w:tc>
          <w:tcPr>
            <w:tcW w:w="1348" w:type="pct"/>
            <w:tcBorders>
              <w:top w:val="outset" w:sz="6" w:space="0" w:color="auto"/>
              <w:left w:val="outset" w:sz="6" w:space="0" w:color="auto"/>
              <w:bottom w:val="outset" w:sz="6" w:space="0" w:color="auto"/>
              <w:right w:val="outset" w:sz="6" w:space="0" w:color="auto"/>
            </w:tcBorders>
            <w:hideMark/>
          </w:tcPr>
          <w:p w14:paraId="7DEE54A0"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Cita informācija</w:t>
            </w:r>
          </w:p>
        </w:tc>
        <w:tc>
          <w:tcPr>
            <w:tcW w:w="3290" w:type="pct"/>
            <w:tcBorders>
              <w:top w:val="outset" w:sz="6" w:space="0" w:color="auto"/>
              <w:left w:val="outset" w:sz="6" w:space="0" w:color="auto"/>
              <w:bottom w:val="outset" w:sz="6" w:space="0" w:color="auto"/>
              <w:right w:val="outset" w:sz="6" w:space="0" w:color="auto"/>
            </w:tcBorders>
          </w:tcPr>
          <w:p w14:paraId="3B3181B3" w14:textId="4BCD499C" w:rsidR="00740B4A" w:rsidRPr="00E6249A" w:rsidRDefault="00F002B3" w:rsidP="00740B4A">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Nav.</w:t>
            </w:r>
          </w:p>
        </w:tc>
      </w:tr>
    </w:tbl>
    <w:p w14:paraId="4E075E2F" w14:textId="19B64CFF" w:rsidR="00327E1E" w:rsidRDefault="00327E1E" w:rsidP="00EA6EAC">
      <w:pPr>
        <w:spacing w:after="0" w:line="240" w:lineRule="auto"/>
        <w:rPr>
          <w:rFonts w:ascii="Arial" w:eastAsia="Times New Roman" w:hAnsi="Arial" w:cs="Arial"/>
          <w:b/>
          <w:bCs/>
          <w:sz w:val="24"/>
          <w:szCs w:val="24"/>
          <w:lang w:eastAsia="lv-LV"/>
        </w:rPr>
      </w:pPr>
    </w:p>
    <w:p w14:paraId="01B49913" w14:textId="77777777" w:rsidR="00D359D6" w:rsidRPr="00E6249A" w:rsidRDefault="00D359D6" w:rsidP="00EA6EAC">
      <w:pPr>
        <w:spacing w:after="0" w:line="240" w:lineRule="auto"/>
        <w:rPr>
          <w:rFonts w:ascii="Arial" w:eastAsia="Times New Roman" w:hAnsi="Arial" w:cs="Arial"/>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9"/>
        <w:gridCol w:w="3117"/>
        <w:gridCol w:w="5492"/>
      </w:tblGrid>
      <w:tr w:rsidR="00F05270" w:rsidRPr="00E6249A" w14:paraId="5C5BD89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7C6C84" w14:textId="77777777" w:rsidR="00655F2C" w:rsidRPr="00E6249A" w:rsidRDefault="00E5323B"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05270" w:rsidRPr="00E6249A" w14:paraId="5B1701F7" w14:textId="77777777" w:rsidTr="005052F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922F57"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52F05CE"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57FE8A93" w14:textId="15819509" w:rsidR="00C63479" w:rsidRPr="00E6249A" w:rsidRDefault="006B6105" w:rsidP="00375657">
            <w:pPr>
              <w:spacing w:after="0" w:line="240" w:lineRule="auto"/>
              <w:jc w:val="both"/>
              <w:rPr>
                <w:rFonts w:ascii="Times New Roman" w:eastAsia="Times New Roman" w:hAnsi="Times New Roman" w:cs="Times New Roman"/>
                <w:bCs/>
                <w:iCs/>
                <w:sz w:val="24"/>
                <w:szCs w:val="24"/>
                <w:lang w:eastAsia="lv-LV"/>
              </w:rPr>
            </w:pPr>
            <w:r w:rsidRPr="006B6105">
              <w:rPr>
                <w:rFonts w:ascii="Times New Roman" w:eastAsia="Times New Roman" w:hAnsi="Times New Roman" w:cs="Times New Roman"/>
                <w:iCs/>
                <w:sz w:val="24"/>
                <w:szCs w:val="24"/>
                <w:lang w:eastAsia="lv-LV"/>
              </w:rPr>
              <w:t>Noteikumu projekta tiesiskais regulējums attiecas uz trīs jūrniecības izglītības iestādēm un jūrniekiem.  Latvijā šobrīd ir aptuveni 12 125 sertificēto jūrnieku.</w:t>
            </w:r>
          </w:p>
        </w:tc>
      </w:tr>
      <w:tr w:rsidR="00F05270" w:rsidRPr="00E6249A" w14:paraId="267D990B" w14:textId="77777777" w:rsidTr="005052F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B35565" w14:textId="4E2B901C"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6DFD66A"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7431685C" w14:textId="651EFEE2" w:rsidR="008F6DB1" w:rsidRPr="00E6249A" w:rsidRDefault="00B37FC8" w:rsidP="00206B33">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F05270" w:rsidRPr="00E6249A" w14:paraId="2D3B7C43" w14:textId="77777777" w:rsidTr="005052F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650C25" w14:textId="4CA091DF"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E8FB66B"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5A55EB94" w14:textId="5B9EA01C" w:rsidR="00E5323B" w:rsidRPr="00E6249A" w:rsidRDefault="00B37FC8" w:rsidP="00E5323B">
            <w:pPr>
              <w:spacing w:after="0" w:line="240" w:lineRule="auto"/>
              <w:rPr>
                <w:rFonts w:ascii="Times New Roman" w:eastAsia="Times New Roman" w:hAnsi="Times New Roman" w:cs="Times New Roman"/>
                <w:iCs/>
                <w:sz w:val="24"/>
                <w:szCs w:val="24"/>
                <w:lang w:eastAsia="lv-LV"/>
              </w:rPr>
            </w:pPr>
            <w:r w:rsidRPr="006B6105">
              <w:rPr>
                <w:rFonts w:ascii="Times New Roman" w:eastAsia="Times New Roman" w:hAnsi="Times New Roman" w:cs="Times New Roman"/>
                <w:sz w:val="24"/>
                <w:szCs w:val="24"/>
                <w:lang w:eastAsia="lv-LV"/>
              </w:rPr>
              <w:t>Noteikumu projekta tiesiskais regulējums neietekmē administratīvās izmaksas.</w:t>
            </w:r>
          </w:p>
        </w:tc>
      </w:tr>
      <w:tr w:rsidR="00F05270" w:rsidRPr="00E6249A" w14:paraId="188E91E2" w14:textId="77777777" w:rsidTr="005052F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1AD49B"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65B15FA"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F66DF3A" w14:textId="64AE344F" w:rsidR="00E5323B" w:rsidRPr="00E6249A" w:rsidRDefault="006F262A" w:rsidP="00E5323B">
            <w:pPr>
              <w:spacing w:after="0" w:line="240" w:lineRule="auto"/>
              <w:rPr>
                <w:rFonts w:ascii="Times New Roman" w:eastAsia="Times New Roman" w:hAnsi="Times New Roman" w:cs="Times New Roman"/>
                <w:iCs/>
                <w:sz w:val="24"/>
                <w:szCs w:val="24"/>
                <w:lang w:eastAsia="lv-LV"/>
              </w:rPr>
            </w:pPr>
            <w:r w:rsidRPr="006F262A">
              <w:rPr>
                <w:rFonts w:ascii="Times New Roman" w:eastAsia="Times New Roman" w:hAnsi="Times New Roman" w:cs="Times New Roman"/>
                <w:iCs/>
                <w:sz w:val="24"/>
                <w:szCs w:val="24"/>
                <w:lang w:eastAsia="lv-LV"/>
              </w:rPr>
              <w:t>Projekts šo jomu neskar</w:t>
            </w:r>
            <w:r>
              <w:rPr>
                <w:rFonts w:ascii="Times New Roman" w:eastAsia="Times New Roman" w:hAnsi="Times New Roman" w:cs="Times New Roman"/>
                <w:iCs/>
                <w:sz w:val="24"/>
                <w:szCs w:val="24"/>
                <w:lang w:eastAsia="lv-LV"/>
              </w:rPr>
              <w:t>.</w:t>
            </w:r>
          </w:p>
        </w:tc>
      </w:tr>
      <w:tr w:rsidR="00F05270" w:rsidRPr="00E6249A" w14:paraId="70BB7F79" w14:textId="77777777" w:rsidTr="005052F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7F4E77"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EF1EA06"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41ABA3E6" w14:textId="3949ED2B" w:rsidR="00E5323B" w:rsidRPr="00E6249A" w:rsidRDefault="00F002B3"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Nav.</w:t>
            </w:r>
          </w:p>
        </w:tc>
      </w:tr>
    </w:tbl>
    <w:p w14:paraId="07F3D815" w14:textId="0861177E" w:rsidR="00C864E4"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 xml:space="preserve">  </w:t>
      </w:r>
    </w:p>
    <w:p w14:paraId="0FCEE8FD" w14:textId="77777777" w:rsidR="00D359D6" w:rsidRPr="00E6249A" w:rsidRDefault="00D359D6"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98"/>
      </w:tblGrid>
      <w:tr w:rsidR="00F05270" w:rsidRPr="00E6249A" w14:paraId="2B2E655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64FC43" w14:textId="77777777" w:rsidR="00655F2C" w:rsidRPr="00E6249A" w:rsidRDefault="00E5323B"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III. Tiesību akta projekta ietekme uz valsts budžetu un pašvaldību budžetiem</w:t>
            </w:r>
          </w:p>
        </w:tc>
      </w:tr>
      <w:tr w:rsidR="00F05270" w:rsidRPr="00E6249A" w14:paraId="7DA8100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4939AD8" w14:textId="70E26BAE" w:rsidR="002B1077" w:rsidRPr="00E6249A" w:rsidRDefault="00327E1E" w:rsidP="00DA2BF7">
            <w:pPr>
              <w:spacing w:after="0" w:line="240" w:lineRule="auto"/>
              <w:jc w:val="center"/>
              <w:rPr>
                <w:rFonts w:ascii="Times New Roman" w:eastAsia="Times New Roman" w:hAnsi="Times New Roman" w:cs="Times New Roman"/>
                <w:bCs/>
                <w:sz w:val="24"/>
                <w:szCs w:val="24"/>
                <w:lang w:eastAsia="lv-LV"/>
              </w:rPr>
            </w:pPr>
            <w:r w:rsidRPr="00E6249A">
              <w:rPr>
                <w:rFonts w:ascii="Times New Roman" w:eastAsia="Times New Roman" w:hAnsi="Times New Roman" w:cs="Times New Roman"/>
                <w:bCs/>
                <w:sz w:val="24"/>
                <w:szCs w:val="24"/>
                <w:lang w:eastAsia="lv-LV"/>
              </w:rPr>
              <w:t>Projekts šo jomu n</w:t>
            </w:r>
            <w:r w:rsidR="00F002B3" w:rsidRPr="00E6249A">
              <w:rPr>
                <w:rFonts w:ascii="Times New Roman" w:eastAsia="Times New Roman" w:hAnsi="Times New Roman" w:cs="Times New Roman"/>
                <w:bCs/>
                <w:sz w:val="24"/>
                <w:szCs w:val="24"/>
                <w:lang w:eastAsia="lv-LV"/>
              </w:rPr>
              <w:t>eskar.</w:t>
            </w:r>
          </w:p>
        </w:tc>
      </w:tr>
    </w:tbl>
    <w:p w14:paraId="294C1C0A" w14:textId="0FCCDC77" w:rsidR="002E028E"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 xml:space="preserve">  </w:t>
      </w:r>
    </w:p>
    <w:p w14:paraId="41326C0D" w14:textId="77777777" w:rsidR="00D359D6" w:rsidRPr="00E6249A" w:rsidRDefault="00D359D6"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98"/>
      </w:tblGrid>
      <w:tr w:rsidR="00F05270" w:rsidRPr="00E6249A" w14:paraId="38B8706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F9C99C" w14:textId="77777777" w:rsidR="00655F2C" w:rsidRPr="00E6249A" w:rsidRDefault="00E5323B"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IV. Tiesību akta projekta ietekme uz spēkā esošo tiesību normu sistēmu</w:t>
            </w:r>
          </w:p>
        </w:tc>
      </w:tr>
      <w:tr w:rsidR="00F002B3" w:rsidRPr="00E6249A" w14:paraId="5A4E115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8464191" w14:textId="735DCF30" w:rsidR="00F002B3" w:rsidRPr="00E6249A" w:rsidRDefault="00F002B3" w:rsidP="00DA2BF7">
            <w:pPr>
              <w:spacing w:after="0" w:line="240" w:lineRule="auto"/>
              <w:jc w:val="center"/>
              <w:rPr>
                <w:rFonts w:ascii="Times New Roman" w:eastAsia="Times New Roman" w:hAnsi="Times New Roman" w:cs="Times New Roman"/>
                <w:bCs/>
                <w:iCs/>
                <w:sz w:val="24"/>
                <w:szCs w:val="24"/>
                <w:lang w:eastAsia="lv-LV"/>
              </w:rPr>
            </w:pPr>
            <w:r w:rsidRPr="00E6249A">
              <w:rPr>
                <w:rFonts w:ascii="Times New Roman" w:eastAsia="Times New Roman" w:hAnsi="Times New Roman" w:cs="Times New Roman"/>
                <w:bCs/>
                <w:iCs/>
                <w:sz w:val="24"/>
                <w:szCs w:val="24"/>
                <w:lang w:eastAsia="lv-LV"/>
              </w:rPr>
              <w:t>Projekts šo jomu neskar.</w:t>
            </w:r>
          </w:p>
        </w:tc>
      </w:tr>
    </w:tbl>
    <w:p w14:paraId="2F7B5880" w14:textId="4668145D" w:rsidR="00042C09" w:rsidRDefault="00042C09" w:rsidP="00E5323B">
      <w:pPr>
        <w:spacing w:after="0" w:line="240" w:lineRule="auto"/>
        <w:rPr>
          <w:rFonts w:ascii="Times New Roman" w:eastAsia="Times New Roman" w:hAnsi="Times New Roman" w:cs="Times New Roman"/>
          <w:iCs/>
          <w:sz w:val="18"/>
          <w:szCs w:val="18"/>
          <w:lang w:eastAsia="lv-LV"/>
        </w:rPr>
      </w:pPr>
    </w:p>
    <w:p w14:paraId="21E209A8" w14:textId="77992BA6" w:rsidR="00D359D6" w:rsidRDefault="00D359D6" w:rsidP="00E5323B">
      <w:pPr>
        <w:spacing w:after="0" w:line="240" w:lineRule="auto"/>
        <w:rPr>
          <w:rFonts w:ascii="Times New Roman" w:eastAsia="Times New Roman" w:hAnsi="Times New Roman" w:cs="Times New Roman"/>
          <w:iCs/>
          <w:sz w:val="18"/>
          <w:szCs w:val="18"/>
          <w:lang w:eastAsia="lv-LV"/>
        </w:rPr>
      </w:pPr>
    </w:p>
    <w:p w14:paraId="4A2C734B" w14:textId="264FE4FB" w:rsidR="00D359D6" w:rsidRDefault="00D359D6" w:rsidP="00E5323B">
      <w:pPr>
        <w:spacing w:after="0" w:line="240" w:lineRule="auto"/>
        <w:rPr>
          <w:rFonts w:ascii="Times New Roman" w:eastAsia="Times New Roman" w:hAnsi="Times New Roman" w:cs="Times New Roman"/>
          <w:iCs/>
          <w:sz w:val="18"/>
          <w:szCs w:val="18"/>
          <w:lang w:eastAsia="lv-LV"/>
        </w:rPr>
      </w:pPr>
    </w:p>
    <w:p w14:paraId="621037C4" w14:textId="23383817" w:rsidR="00D359D6" w:rsidRDefault="00D359D6" w:rsidP="00E5323B">
      <w:pPr>
        <w:spacing w:after="0" w:line="240" w:lineRule="auto"/>
        <w:rPr>
          <w:rFonts w:ascii="Times New Roman" w:eastAsia="Times New Roman" w:hAnsi="Times New Roman" w:cs="Times New Roman"/>
          <w:iCs/>
          <w:sz w:val="18"/>
          <w:szCs w:val="18"/>
          <w:lang w:eastAsia="lv-LV"/>
        </w:rPr>
      </w:pPr>
    </w:p>
    <w:p w14:paraId="3ECC94AF" w14:textId="77777777" w:rsidR="00D359D6" w:rsidRPr="00F06ACD" w:rsidRDefault="00D359D6" w:rsidP="00E5323B">
      <w:pPr>
        <w:spacing w:after="0" w:line="240" w:lineRule="auto"/>
        <w:rPr>
          <w:rFonts w:ascii="Times New Roman" w:eastAsia="Times New Roman" w:hAnsi="Times New Roman" w:cs="Times New Roman"/>
          <w:iCs/>
          <w:sz w:val="18"/>
          <w:szCs w:val="1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9"/>
        <w:gridCol w:w="3117"/>
        <w:gridCol w:w="5492"/>
      </w:tblGrid>
      <w:tr w:rsidR="00F05270" w:rsidRPr="00E6249A" w14:paraId="4512632A" w14:textId="77777777" w:rsidTr="00D64BC8">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A6D7AF2" w14:textId="77777777" w:rsidR="007C52A5" w:rsidRPr="00E6249A" w:rsidRDefault="007C52A5" w:rsidP="007C52A5">
            <w:pPr>
              <w:spacing w:after="0" w:line="240" w:lineRule="auto"/>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iCs/>
                <w:sz w:val="24"/>
                <w:szCs w:val="24"/>
                <w:lang w:eastAsia="lv-LV"/>
              </w:rPr>
              <w:lastRenderedPageBreak/>
              <w:t xml:space="preserve">  </w:t>
            </w:r>
            <w:r w:rsidRPr="00E6249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F05270" w:rsidRPr="00E6249A" w14:paraId="6BDE2BF9" w14:textId="77777777" w:rsidTr="00D64B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732682" w14:textId="77777777" w:rsidR="007C52A5" w:rsidRPr="00E6249A" w:rsidRDefault="007C52A5" w:rsidP="007C52A5">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5994AC6" w14:textId="77777777" w:rsidR="007C52A5" w:rsidRPr="00E6249A" w:rsidRDefault="007C52A5" w:rsidP="007C52A5">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tcPr>
          <w:p w14:paraId="69F79983" w14:textId="64D362CF" w:rsidR="001F23D5" w:rsidRDefault="001F23D5" w:rsidP="001F23D5">
            <w:pPr>
              <w:spacing w:after="0" w:line="240" w:lineRule="auto"/>
              <w:jc w:val="both"/>
              <w:rPr>
                <w:rFonts w:ascii="Times New Roman" w:eastAsia="Times New Roman" w:hAnsi="Times New Roman" w:cs="Times New Roman"/>
                <w:bCs/>
                <w:iCs/>
                <w:sz w:val="24"/>
                <w:szCs w:val="24"/>
                <w:lang w:eastAsia="lv-LV"/>
              </w:rPr>
            </w:pPr>
            <w:r w:rsidRPr="001F23D5">
              <w:rPr>
                <w:rFonts w:ascii="Times New Roman" w:eastAsia="Times New Roman" w:hAnsi="Times New Roman" w:cs="Times New Roman"/>
                <w:bCs/>
                <w:iCs/>
                <w:sz w:val="24"/>
                <w:szCs w:val="24"/>
                <w:lang w:eastAsia="lv-LV"/>
              </w:rPr>
              <w:t>Eiropas Parlamenta un Padomes 2019. gada 20. jūnija Direktīva 2019/1159, ar ko groza Direktīvu 2008/106/EK par jūrnieku minimālo sagatavotības līmeni nosaka, ka dalībvalstis līdz 2021. gada 2. augustam pieņem un publicē normatīvos aktus, kas nepieciešami, lai izpildītu Direktīvas prasības.</w:t>
            </w:r>
          </w:p>
          <w:p w14:paraId="1C829C68" w14:textId="77777777" w:rsidR="001F23D5" w:rsidRPr="001F23D5" w:rsidRDefault="001F23D5" w:rsidP="001F23D5">
            <w:pPr>
              <w:spacing w:after="0" w:line="240" w:lineRule="auto"/>
              <w:jc w:val="both"/>
              <w:rPr>
                <w:rFonts w:ascii="Times New Roman" w:eastAsia="Times New Roman" w:hAnsi="Times New Roman" w:cs="Times New Roman"/>
                <w:bCs/>
                <w:iCs/>
                <w:sz w:val="24"/>
                <w:szCs w:val="24"/>
                <w:lang w:eastAsia="lv-LV"/>
              </w:rPr>
            </w:pPr>
          </w:p>
          <w:p w14:paraId="2CC710D9" w14:textId="743F3BCE" w:rsidR="00F877D2" w:rsidRPr="001F23D5" w:rsidRDefault="001F23D5" w:rsidP="001F23D5">
            <w:pPr>
              <w:spacing w:after="0" w:line="240" w:lineRule="auto"/>
              <w:jc w:val="both"/>
              <w:rPr>
                <w:rFonts w:ascii="Times New Roman" w:eastAsia="Times New Roman" w:hAnsi="Times New Roman" w:cs="Times New Roman"/>
                <w:bCs/>
                <w:iCs/>
                <w:sz w:val="24"/>
                <w:szCs w:val="24"/>
                <w:lang w:eastAsia="lv-LV"/>
              </w:rPr>
            </w:pPr>
            <w:r w:rsidRPr="001F23D5">
              <w:rPr>
                <w:rFonts w:ascii="Times New Roman" w:eastAsia="Times New Roman" w:hAnsi="Times New Roman" w:cs="Times New Roman"/>
                <w:bCs/>
                <w:iCs/>
                <w:sz w:val="24"/>
                <w:szCs w:val="24"/>
                <w:lang w:eastAsia="lv-LV"/>
              </w:rPr>
              <w:t>Eiropas Parlamenta un Padomes 2017. gada 12. decembra Direktīvas (ES) 2017/2397 par profesionālās kvalifikācijas atzīšanu kuģošanā pa iekšzemes ūdensceļiem un ar ko atceļ Padomes Direktīvas 91/672/EKK un 96/50/EK nosaka, ka dalībvalstis līdz 2022. gada 17. janvārim pieņem un publicē normatīvos aktus, kas nepieciešami, lai izpildītu Direktīvas prasības.</w:t>
            </w:r>
          </w:p>
        </w:tc>
      </w:tr>
      <w:tr w:rsidR="00F05270" w:rsidRPr="00E6249A" w14:paraId="4EEE279E" w14:textId="77777777" w:rsidTr="00D64B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49D2D0" w14:textId="51530315" w:rsidR="007C52A5" w:rsidRPr="00E6249A" w:rsidRDefault="007C52A5" w:rsidP="007C52A5">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C294A02" w14:textId="77777777" w:rsidR="007C52A5" w:rsidRPr="00E6249A" w:rsidRDefault="007C52A5" w:rsidP="007C52A5">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tcPr>
          <w:p w14:paraId="1708FD67" w14:textId="5808862F" w:rsidR="007C52A5" w:rsidRPr="004B668B" w:rsidRDefault="001F23D5" w:rsidP="00450A9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Cs/>
                <w:iCs/>
                <w:sz w:val="24"/>
                <w:szCs w:val="24"/>
                <w:lang w:eastAsia="lv-LV"/>
              </w:rPr>
              <w:t>Projekts šo jomu neskar.</w:t>
            </w:r>
            <w:r w:rsidR="00F002B3" w:rsidRPr="004B668B">
              <w:rPr>
                <w:rFonts w:ascii="Times New Roman" w:eastAsia="Times New Roman" w:hAnsi="Times New Roman" w:cs="Times New Roman"/>
                <w:bCs/>
                <w:iCs/>
                <w:sz w:val="24"/>
                <w:szCs w:val="24"/>
                <w:lang w:eastAsia="lv-LV"/>
              </w:rPr>
              <w:t xml:space="preserve"> </w:t>
            </w:r>
          </w:p>
        </w:tc>
      </w:tr>
      <w:tr w:rsidR="00D64BC8" w:rsidRPr="00E6249A" w14:paraId="530C6E2F" w14:textId="77777777" w:rsidTr="00D64B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172B204" w14:textId="5DF73B8D" w:rsidR="007C52A5" w:rsidRPr="00E6249A" w:rsidRDefault="007C52A5" w:rsidP="007C52A5">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8240038" w14:textId="77777777" w:rsidR="007C52A5" w:rsidRPr="00E6249A" w:rsidRDefault="007C52A5" w:rsidP="007C52A5">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8294A19" w14:textId="7D03FC6D" w:rsidR="007C52A5" w:rsidRPr="004B668B" w:rsidRDefault="001F23D5" w:rsidP="00B26533">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Nav.</w:t>
            </w:r>
          </w:p>
        </w:tc>
      </w:tr>
    </w:tbl>
    <w:p w14:paraId="4FE9F8B6" w14:textId="1B964679" w:rsidR="00EA6EAC" w:rsidRDefault="00EA6EAC" w:rsidP="00E5323B">
      <w:pPr>
        <w:spacing w:after="0" w:line="240" w:lineRule="auto"/>
        <w:rPr>
          <w:rFonts w:ascii="Times New Roman" w:eastAsia="Times New Roman" w:hAnsi="Times New Roman" w:cs="Times New Roman"/>
          <w:iCs/>
          <w:sz w:val="16"/>
          <w:szCs w:val="16"/>
          <w:lang w:eastAsia="lv-LV"/>
        </w:rPr>
      </w:pPr>
    </w:p>
    <w:tbl>
      <w:tblPr>
        <w:tblW w:w="500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7"/>
        <w:gridCol w:w="2107"/>
        <w:gridCol w:w="1857"/>
        <w:gridCol w:w="2814"/>
      </w:tblGrid>
      <w:tr w:rsidR="002F56C7" w:rsidRPr="002F56C7" w14:paraId="1143452E" w14:textId="77777777" w:rsidTr="00EA04C4">
        <w:trPr>
          <w:tblCellSpacing w:w="15" w:type="dxa"/>
        </w:trPr>
        <w:tc>
          <w:tcPr>
            <w:tcW w:w="4967" w:type="pct"/>
            <w:gridSpan w:val="4"/>
            <w:tcBorders>
              <w:top w:val="outset" w:sz="6" w:space="0" w:color="auto"/>
              <w:left w:val="outset" w:sz="6" w:space="0" w:color="auto"/>
              <w:bottom w:val="outset" w:sz="6" w:space="0" w:color="auto"/>
              <w:right w:val="outset" w:sz="6" w:space="0" w:color="auto"/>
            </w:tcBorders>
            <w:vAlign w:val="center"/>
            <w:hideMark/>
          </w:tcPr>
          <w:p w14:paraId="4B798DD7" w14:textId="77777777" w:rsidR="002F56C7" w:rsidRPr="002F56C7" w:rsidRDefault="002F56C7" w:rsidP="002F56C7">
            <w:pPr>
              <w:spacing w:after="0" w:line="240" w:lineRule="auto"/>
              <w:jc w:val="center"/>
              <w:rPr>
                <w:rFonts w:ascii="Times New Roman" w:eastAsia="Times New Roman" w:hAnsi="Times New Roman" w:cs="Times New Roman"/>
                <w:b/>
                <w:bCs/>
                <w:iCs/>
                <w:sz w:val="24"/>
                <w:szCs w:val="24"/>
                <w:lang w:val="sv-SE" w:eastAsia="lv-LV"/>
              </w:rPr>
            </w:pPr>
            <w:r w:rsidRPr="002F56C7">
              <w:rPr>
                <w:rFonts w:ascii="Times New Roman" w:eastAsia="Times New Roman" w:hAnsi="Times New Roman" w:cs="Times New Roman"/>
                <w:b/>
                <w:bCs/>
                <w:iCs/>
                <w:sz w:val="24"/>
                <w:szCs w:val="24"/>
                <w:lang w:val="sv-SE" w:eastAsia="lv-LV"/>
              </w:rPr>
              <w:t>1. tabula</w:t>
            </w:r>
            <w:r w:rsidRPr="002F56C7">
              <w:rPr>
                <w:rFonts w:ascii="Times New Roman" w:eastAsia="Times New Roman" w:hAnsi="Times New Roman" w:cs="Times New Roman"/>
                <w:b/>
                <w:bCs/>
                <w:iCs/>
                <w:sz w:val="24"/>
                <w:szCs w:val="24"/>
                <w:lang w:val="sv-SE" w:eastAsia="lv-LV"/>
              </w:rPr>
              <w:br/>
              <w:t>Tiesību akta projekta atbilstība ES tiesību aktiem</w:t>
            </w:r>
          </w:p>
        </w:tc>
      </w:tr>
      <w:tr w:rsidR="002F56C7" w:rsidRPr="002F56C7" w14:paraId="5E8CA2B6"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hideMark/>
          </w:tcPr>
          <w:p w14:paraId="5CC1A18B" w14:textId="77777777" w:rsidR="002F56C7" w:rsidRPr="002F56C7" w:rsidRDefault="002F56C7" w:rsidP="002F56C7">
            <w:pPr>
              <w:spacing w:after="0" w:line="240" w:lineRule="auto"/>
              <w:rPr>
                <w:rFonts w:ascii="Times New Roman" w:eastAsia="Times New Roman" w:hAnsi="Times New Roman" w:cs="Times New Roman"/>
                <w:iCs/>
                <w:sz w:val="24"/>
                <w:szCs w:val="24"/>
                <w:lang w:val="de-DE" w:eastAsia="lv-LV"/>
              </w:rPr>
            </w:pPr>
            <w:r w:rsidRPr="002F56C7">
              <w:rPr>
                <w:rFonts w:ascii="Times New Roman" w:eastAsia="Times New Roman" w:hAnsi="Times New Roman" w:cs="Times New Roman"/>
                <w:iCs/>
                <w:sz w:val="24"/>
                <w:szCs w:val="24"/>
                <w:lang w:val="de-DE" w:eastAsia="lv-LV"/>
              </w:rPr>
              <w:t>Attiecīgā ES tiesību akta datums, numurs un nosaukums</w:t>
            </w:r>
          </w:p>
        </w:tc>
        <w:tc>
          <w:tcPr>
            <w:tcW w:w="3644" w:type="pct"/>
            <w:gridSpan w:val="3"/>
            <w:tcBorders>
              <w:top w:val="outset" w:sz="6" w:space="0" w:color="auto"/>
              <w:left w:val="outset" w:sz="6" w:space="0" w:color="auto"/>
              <w:bottom w:val="outset" w:sz="6" w:space="0" w:color="auto"/>
              <w:right w:val="outset" w:sz="6" w:space="0" w:color="auto"/>
            </w:tcBorders>
            <w:hideMark/>
          </w:tcPr>
          <w:p w14:paraId="6A755FEE" w14:textId="3711F6D8" w:rsidR="001F23D5" w:rsidRDefault="001F23D5" w:rsidP="001F23D5">
            <w:pPr>
              <w:spacing w:after="0" w:line="240" w:lineRule="auto"/>
              <w:jc w:val="both"/>
              <w:rPr>
                <w:rFonts w:ascii="Times New Roman" w:eastAsia="Times New Roman" w:hAnsi="Times New Roman" w:cs="Times New Roman"/>
                <w:bCs/>
                <w:iCs/>
                <w:sz w:val="24"/>
                <w:szCs w:val="24"/>
                <w:lang w:eastAsia="lv-LV"/>
              </w:rPr>
            </w:pPr>
            <w:r w:rsidRPr="001F23D5">
              <w:rPr>
                <w:rFonts w:ascii="Times New Roman" w:eastAsia="Times New Roman" w:hAnsi="Times New Roman" w:cs="Times New Roman"/>
                <w:bCs/>
                <w:iCs/>
                <w:sz w:val="24"/>
                <w:szCs w:val="24"/>
                <w:lang w:eastAsia="lv-LV"/>
              </w:rPr>
              <w:t xml:space="preserve">Eiropas Parlamenta un Padomes Direktīva (ES) 2017/2397 (2017. gada 12. decembris) par profesionālās kvalifikācijas atzīšanu kuģošanā pa iekšzemes ūdensceļiem un ar ko atceļ Padomes Direktīvas 91/672/EEK un 96/50/EK </w:t>
            </w:r>
            <w:r w:rsidR="00877731" w:rsidRPr="004B668B">
              <w:rPr>
                <w:rFonts w:ascii="Times New Roman" w:eastAsia="Times New Roman" w:hAnsi="Times New Roman" w:cs="Times New Roman"/>
                <w:bCs/>
                <w:iCs/>
                <w:sz w:val="24"/>
                <w:szCs w:val="24"/>
                <w:lang w:eastAsia="lv-LV"/>
              </w:rPr>
              <w:t xml:space="preserve">[Publicēta Eiropas Savienības Oficiālajā Vēstnesī L </w:t>
            </w:r>
            <w:r w:rsidR="004C2D18" w:rsidRPr="004C2D18">
              <w:rPr>
                <w:rFonts w:ascii="Times New Roman" w:eastAsia="Times New Roman" w:hAnsi="Times New Roman" w:cs="Times New Roman"/>
                <w:bCs/>
                <w:iCs/>
                <w:sz w:val="24"/>
                <w:szCs w:val="24"/>
                <w:lang w:eastAsia="lv-LV"/>
              </w:rPr>
              <w:t>345, 27.12.2017.</w:t>
            </w:r>
            <w:r w:rsidR="00877731" w:rsidRPr="004B668B">
              <w:rPr>
                <w:rFonts w:ascii="Times New Roman" w:eastAsia="Times New Roman" w:hAnsi="Times New Roman" w:cs="Times New Roman"/>
                <w:bCs/>
                <w:iCs/>
                <w:sz w:val="24"/>
                <w:szCs w:val="24"/>
                <w:lang w:eastAsia="lv-LV"/>
              </w:rPr>
              <w:t>]</w:t>
            </w:r>
            <w:r>
              <w:rPr>
                <w:rFonts w:ascii="Times New Roman" w:eastAsia="Times New Roman" w:hAnsi="Times New Roman" w:cs="Times New Roman"/>
                <w:bCs/>
                <w:iCs/>
                <w:sz w:val="24"/>
                <w:szCs w:val="24"/>
                <w:lang w:eastAsia="lv-LV"/>
              </w:rPr>
              <w:t>;</w:t>
            </w:r>
          </w:p>
          <w:p w14:paraId="5F1E72D3" w14:textId="77777777" w:rsidR="001F23D5" w:rsidRDefault="001F23D5" w:rsidP="001F23D5">
            <w:pPr>
              <w:spacing w:after="0" w:line="240" w:lineRule="auto"/>
              <w:jc w:val="both"/>
              <w:rPr>
                <w:rFonts w:ascii="Times New Roman" w:eastAsia="Times New Roman" w:hAnsi="Times New Roman" w:cs="Times New Roman"/>
                <w:bCs/>
                <w:iCs/>
                <w:sz w:val="24"/>
                <w:szCs w:val="24"/>
                <w:lang w:eastAsia="lv-LV"/>
              </w:rPr>
            </w:pPr>
          </w:p>
          <w:p w14:paraId="0284EBD0" w14:textId="0A0E1CCD" w:rsidR="001F23D5" w:rsidRDefault="001F23D5" w:rsidP="001F23D5">
            <w:pPr>
              <w:spacing w:after="0" w:line="240" w:lineRule="auto"/>
              <w:jc w:val="both"/>
              <w:rPr>
                <w:rFonts w:ascii="Times New Roman" w:eastAsia="Times New Roman" w:hAnsi="Times New Roman" w:cs="Times New Roman"/>
                <w:bCs/>
                <w:iCs/>
                <w:sz w:val="24"/>
                <w:szCs w:val="24"/>
                <w:lang w:eastAsia="lv-LV"/>
              </w:rPr>
            </w:pPr>
            <w:r w:rsidRPr="001F23D5">
              <w:rPr>
                <w:rFonts w:ascii="Times New Roman" w:eastAsia="Times New Roman" w:hAnsi="Times New Roman" w:cs="Times New Roman"/>
                <w:bCs/>
                <w:iCs/>
                <w:sz w:val="24"/>
                <w:szCs w:val="24"/>
                <w:lang w:eastAsia="lv-LV"/>
              </w:rPr>
              <w:t>Eiropas Parlamenta un Padomes Direktīvu 2019/1159 (2019. gada 20. jūnijs), ar ko groza Direktīvu 2008/106/EK par jūrnieku minimālo sagatavotības līmeni un atceļ Direktīvu 2005/45/EK par dalībvalstu izsniegto jūrnieku sertifikātu savstarpēju atzīšanu</w:t>
            </w:r>
            <w:r>
              <w:rPr>
                <w:rFonts w:ascii="Times New Roman" w:eastAsia="Times New Roman" w:hAnsi="Times New Roman" w:cs="Times New Roman"/>
                <w:bCs/>
                <w:iCs/>
                <w:sz w:val="24"/>
                <w:szCs w:val="24"/>
                <w:lang w:eastAsia="lv-LV"/>
              </w:rPr>
              <w:t xml:space="preserve"> [</w:t>
            </w:r>
            <w:r w:rsidR="004C2D18" w:rsidRPr="004B668B">
              <w:rPr>
                <w:rFonts w:ascii="Times New Roman" w:eastAsia="Times New Roman" w:hAnsi="Times New Roman" w:cs="Times New Roman"/>
                <w:bCs/>
                <w:iCs/>
                <w:sz w:val="24"/>
                <w:szCs w:val="24"/>
                <w:lang w:eastAsia="lv-LV"/>
              </w:rPr>
              <w:t xml:space="preserve">Publicēta Eiropas Savienības Oficiālajā Vēstnesī L </w:t>
            </w:r>
            <w:r w:rsidR="004C2D18" w:rsidRPr="004C2D18">
              <w:rPr>
                <w:rFonts w:ascii="Times New Roman" w:eastAsia="Times New Roman" w:hAnsi="Times New Roman" w:cs="Times New Roman"/>
                <w:bCs/>
                <w:iCs/>
                <w:sz w:val="24"/>
                <w:szCs w:val="24"/>
                <w:lang w:eastAsia="lv-LV"/>
              </w:rPr>
              <w:t>188, 12.</w:t>
            </w:r>
            <w:r w:rsidR="00A96F88">
              <w:rPr>
                <w:rFonts w:ascii="Times New Roman" w:eastAsia="Times New Roman" w:hAnsi="Times New Roman" w:cs="Times New Roman"/>
                <w:bCs/>
                <w:iCs/>
                <w:sz w:val="24"/>
                <w:szCs w:val="24"/>
                <w:lang w:eastAsia="lv-LV"/>
              </w:rPr>
              <w:t>0</w:t>
            </w:r>
            <w:r w:rsidR="004C2D18" w:rsidRPr="004C2D18">
              <w:rPr>
                <w:rFonts w:ascii="Times New Roman" w:eastAsia="Times New Roman" w:hAnsi="Times New Roman" w:cs="Times New Roman"/>
                <w:bCs/>
                <w:iCs/>
                <w:sz w:val="24"/>
                <w:szCs w:val="24"/>
                <w:lang w:eastAsia="lv-LV"/>
              </w:rPr>
              <w:t>7.2019.</w:t>
            </w:r>
            <w:r>
              <w:rPr>
                <w:rFonts w:ascii="Times New Roman" w:eastAsia="Times New Roman" w:hAnsi="Times New Roman" w:cs="Times New Roman"/>
                <w:bCs/>
                <w:iCs/>
                <w:sz w:val="24"/>
                <w:szCs w:val="24"/>
                <w:lang w:eastAsia="lv-LV"/>
              </w:rPr>
              <w:t>]</w:t>
            </w:r>
            <w:r w:rsidRPr="001F23D5">
              <w:rPr>
                <w:rFonts w:ascii="Times New Roman" w:eastAsia="Times New Roman" w:hAnsi="Times New Roman" w:cs="Times New Roman"/>
                <w:bCs/>
                <w:iCs/>
                <w:sz w:val="24"/>
                <w:szCs w:val="24"/>
                <w:lang w:eastAsia="lv-LV"/>
              </w:rPr>
              <w:t>.</w:t>
            </w:r>
          </w:p>
          <w:p w14:paraId="431ED3BE" w14:textId="77777777" w:rsidR="001F23D5" w:rsidRPr="00676196" w:rsidRDefault="001F23D5" w:rsidP="001F23D5">
            <w:pPr>
              <w:spacing w:after="0" w:line="240" w:lineRule="auto"/>
              <w:jc w:val="both"/>
              <w:rPr>
                <w:rFonts w:ascii="Times New Roman" w:eastAsia="Times New Roman" w:hAnsi="Times New Roman" w:cs="Times New Roman"/>
                <w:bCs/>
                <w:iCs/>
                <w:sz w:val="24"/>
                <w:szCs w:val="24"/>
                <w:lang w:eastAsia="lv-LV"/>
              </w:rPr>
            </w:pPr>
          </w:p>
          <w:p w14:paraId="0B5F354E" w14:textId="1CF7E4E0" w:rsidR="000B4A54" w:rsidRPr="00676196" w:rsidRDefault="000B4A54" w:rsidP="0040233E">
            <w:pPr>
              <w:spacing w:after="0" w:line="240" w:lineRule="auto"/>
              <w:jc w:val="both"/>
              <w:rPr>
                <w:rFonts w:ascii="Times New Roman" w:eastAsia="Times New Roman" w:hAnsi="Times New Roman" w:cs="Times New Roman"/>
                <w:bCs/>
                <w:iCs/>
                <w:sz w:val="24"/>
                <w:szCs w:val="24"/>
                <w:lang w:eastAsia="lv-LV"/>
              </w:rPr>
            </w:pPr>
          </w:p>
        </w:tc>
      </w:tr>
      <w:tr w:rsidR="002F56C7" w:rsidRPr="002F56C7" w14:paraId="18C9F831"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vAlign w:val="center"/>
            <w:hideMark/>
          </w:tcPr>
          <w:p w14:paraId="544B14DB" w14:textId="7315813C" w:rsidR="002F56C7" w:rsidRPr="002F56C7" w:rsidRDefault="002F56C7" w:rsidP="002F56C7">
            <w:pPr>
              <w:spacing w:after="0" w:line="240" w:lineRule="auto"/>
              <w:rPr>
                <w:rFonts w:ascii="Times New Roman" w:eastAsia="Times New Roman" w:hAnsi="Times New Roman" w:cs="Times New Roman"/>
                <w:iCs/>
                <w:sz w:val="24"/>
                <w:szCs w:val="24"/>
                <w:lang w:val="en-US" w:eastAsia="lv-LV"/>
              </w:rPr>
            </w:pPr>
            <w:r w:rsidRPr="002F56C7">
              <w:rPr>
                <w:rFonts w:ascii="Times New Roman" w:eastAsia="Times New Roman" w:hAnsi="Times New Roman" w:cs="Times New Roman"/>
                <w:iCs/>
                <w:sz w:val="24"/>
                <w:szCs w:val="24"/>
                <w:lang w:val="en-US" w:eastAsia="lv-LV"/>
              </w:rPr>
              <w:t>A</w:t>
            </w:r>
          </w:p>
        </w:tc>
        <w:tc>
          <w:tcPr>
            <w:tcW w:w="1139" w:type="pct"/>
            <w:tcBorders>
              <w:top w:val="outset" w:sz="6" w:space="0" w:color="auto"/>
              <w:left w:val="outset" w:sz="6" w:space="0" w:color="auto"/>
              <w:bottom w:val="outset" w:sz="6" w:space="0" w:color="auto"/>
              <w:right w:val="outset" w:sz="6" w:space="0" w:color="auto"/>
            </w:tcBorders>
            <w:vAlign w:val="center"/>
            <w:hideMark/>
          </w:tcPr>
          <w:p w14:paraId="5F6BEF3F" w14:textId="77777777" w:rsidR="002F56C7" w:rsidRPr="002F56C7" w:rsidRDefault="002F56C7" w:rsidP="002F56C7">
            <w:pPr>
              <w:spacing w:after="0" w:line="240" w:lineRule="auto"/>
              <w:rPr>
                <w:rFonts w:ascii="Times New Roman" w:eastAsia="Times New Roman" w:hAnsi="Times New Roman" w:cs="Times New Roman"/>
                <w:iCs/>
                <w:sz w:val="24"/>
                <w:szCs w:val="24"/>
                <w:lang w:val="en-US" w:eastAsia="lv-LV"/>
              </w:rPr>
            </w:pPr>
            <w:r w:rsidRPr="002F56C7">
              <w:rPr>
                <w:rFonts w:ascii="Times New Roman" w:eastAsia="Times New Roman" w:hAnsi="Times New Roman" w:cs="Times New Roman"/>
                <w:iCs/>
                <w:sz w:val="24"/>
                <w:szCs w:val="24"/>
                <w:lang w:val="en-US" w:eastAsia="lv-LV"/>
              </w:rPr>
              <w:t>B</w:t>
            </w:r>
          </w:p>
        </w:tc>
        <w:tc>
          <w:tcPr>
            <w:tcW w:w="1002" w:type="pct"/>
            <w:tcBorders>
              <w:top w:val="outset" w:sz="6" w:space="0" w:color="auto"/>
              <w:left w:val="outset" w:sz="6" w:space="0" w:color="auto"/>
              <w:bottom w:val="outset" w:sz="6" w:space="0" w:color="auto"/>
              <w:right w:val="outset" w:sz="6" w:space="0" w:color="auto"/>
            </w:tcBorders>
            <w:vAlign w:val="center"/>
            <w:hideMark/>
          </w:tcPr>
          <w:p w14:paraId="4AC62DFC" w14:textId="77777777" w:rsidR="002F56C7" w:rsidRPr="002F56C7" w:rsidRDefault="002F56C7" w:rsidP="002F56C7">
            <w:pPr>
              <w:spacing w:after="0" w:line="240" w:lineRule="auto"/>
              <w:rPr>
                <w:rFonts w:ascii="Times New Roman" w:eastAsia="Times New Roman" w:hAnsi="Times New Roman" w:cs="Times New Roman"/>
                <w:iCs/>
                <w:sz w:val="24"/>
                <w:szCs w:val="24"/>
                <w:lang w:val="en-US" w:eastAsia="lv-LV"/>
              </w:rPr>
            </w:pPr>
            <w:r w:rsidRPr="002F56C7">
              <w:rPr>
                <w:rFonts w:ascii="Times New Roman" w:eastAsia="Times New Roman" w:hAnsi="Times New Roman" w:cs="Times New Roman"/>
                <w:iCs/>
                <w:sz w:val="24"/>
                <w:szCs w:val="24"/>
                <w:lang w:val="en-US" w:eastAsia="lv-LV"/>
              </w:rPr>
              <w:t>C</w:t>
            </w:r>
          </w:p>
        </w:tc>
        <w:tc>
          <w:tcPr>
            <w:tcW w:w="1471" w:type="pct"/>
            <w:tcBorders>
              <w:top w:val="outset" w:sz="6" w:space="0" w:color="auto"/>
              <w:left w:val="outset" w:sz="6" w:space="0" w:color="auto"/>
              <w:bottom w:val="outset" w:sz="6" w:space="0" w:color="auto"/>
              <w:right w:val="outset" w:sz="6" w:space="0" w:color="auto"/>
            </w:tcBorders>
            <w:vAlign w:val="center"/>
            <w:hideMark/>
          </w:tcPr>
          <w:p w14:paraId="2FDEFE2E" w14:textId="77777777" w:rsidR="002F56C7" w:rsidRPr="002F56C7" w:rsidRDefault="002F56C7" w:rsidP="002F56C7">
            <w:pPr>
              <w:spacing w:after="0" w:line="240" w:lineRule="auto"/>
              <w:rPr>
                <w:rFonts w:ascii="Times New Roman" w:eastAsia="Times New Roman" w:hAnsi="Times New Roman" w:cs="Times New Roman"/>
                <w:iCs/>
                <w:sz w:val="24"/>
                <w:szCs w:val="24"/>
                <w:lang w:val="en-US" w:eastAsia="lv-LV"/>
              </w:rPr>
            </w:pPr>
            <w:r w:rsidRPr="002F56C7">
              <w:rPr>
                <w:rFonts w:ascii="Times New Roman" w:eastAsia="Times New Roman" w:hAnsi="Times New Roman" w:cs="Times New Roman"/>
                <w:iCs/>
                <w:sz w:val="24"/>
                <w:szCs w:val="24"/>
                <w:lang w:val="en-US" w:eastAsia="lv-LV"/>
              </w:rPr>
              <w:t>D</w:t>
            </w:r>
          </w:p>
        </w:tc>
      </w:tr>
      <w:tr w:rsidR="002F56C7" w:rsidRPr="002F56C7" w14:paraId="66A697FA"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hideMark/>
          </w:tcPr>
          <w:p w14:paraId="17431C3C" w14:textId="77777777" w:rsidR="002F56C7" w:rsidRPr="002A4DDD" w:rsidRDefault="002F56C7" w:rsidP="002F56C7">
            <w:pPr>
              <w:spacing w:after="0" w:line="240" w:lineRule="auto"/>
              <w:rPr>
                <w:rFonts w:ascii="Times New Roman" w:eastAsia="Times New Roman" w:hAnsi="Times New Roman" w:cs="Times New Roman"/>
                <w:iCs/>
                <w:sz w:val="24"/>
                <w:szCs w:val="24"/>
                <w:lang w:eastAsia="lv-LV"/>
              </w:rPr>
            </w:pPr>
            <w:r w:rsidRPr="002A4DDD">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139" w:type="pct"/>
            <w:tcBorders>
              <w:top w:val="outset" w:sz="6" w:space="0" w:color="auto"/>
              <w:left w:val="outset" w:sz="6" w:space="0" w:color="auto"/>
              <w:bottom w:val="outset" w:sz="6" w:space="0" w:color="auto"/>
              <w:right w:val="outset" w:sz="6" w:space="0" w:color="auto"/>
            </w:tcBorders>
            <w:hideMark/>
          </w:tcPr>
          <w:p w14:paraId="049EF8A0" w14:textId="77777777" w:rsidR="002F56C7" w:rsidRPr="002A4DDD" w:rsidRDefault="002F56C7" w:rsidP="002F56C7">
            <w:pPr>
              <w:spacing w:after="0" w:line="240" w:lineRule="auto"/>
              <w:rPr>
                <w:rFonts w:ascii="Times New Roman" w:eastAsia="Times New Roman" w:hAnsi="Times New Roman" w:cs="Times New Roman"/>
                <w:iCs/>
                <w:sz w:val="24"/>
                <w:szCs w:val="24"/>
                <w:lang w:eastAsia="lv-LV"/>
              </w:rPr>
            </w:pPr>
            <w:r w:rsidRPr="002A4DDD">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002" w:type="pct"/>
            <w:tcBorders>
              <w:top w:val="outset" w:sz="6" w:space="0" w:color="auto"/>
              <w:left w:val="outset" w:sz="6" w:space="0" w:color="auto"/>
              <w:bottom w:val="outset" w:sz="6" w:space="0" w:color="auto"/>
              <w:right w:val="outset" w:sz="6" w:space="0" w:color="auto"/>
            </w:tcBorders>
            <w:hideMark/>
          </w:tcPr>
          <w:p w14:paraId="61B4C8E5" w14:textId="77777777" w:rsidR="002F56C7" w:rsidRPr="002A4DDD" w:rsidRDefault="002F56C7" w:rsidP="002F56C7">
            <w:pPr>
              <w:spacing w:after="0" w:line="240" w:lineRule="auto"/>
              <w:rPr>
                <w:rFonts w:ascii="Times New Roman" w:eastAsia="Times New Roman" w:hAnsi="Times New Roman" w:cs="Times New Roman"/>
                <w:iCs/>
                <w:sz w:val="24"/>
                <w:szCs w:val="24"/>
                <w:lang w:eastAsia="lv-LV"/>
              </w:rPr>
            </w:pPr>
            <w:r w:rsidRPr="002A4DDD">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2A4DDD">
              <w:rPr>
                <w:rFonts w:ascii="Times New Roman" w:eastAsia="Times New Roman" w:hAnsi="Times New Roman" w:cs="Times New Roman"/>
                <w:iCs/>
                <w:sz w:val="24"/>
                <w:szCs w:val="24"/>
                <w:lang w:eastAsia="lv-LV"/>
              </w:rPr>
              <w:br/>
              <w:t xml:space="preserve">Ja attiecīgā ES tiesību akta vienība tiek pārņemta vai ieviesta daļēji, sniedz attiecīgu skaidrojumu, kā </w:t>
            </w:r>
            <w:r w:rsidRPr="002A4DDD">
              <w:rPr>
                <w:rFonts w:ascii="Times New Roman" w:eastAsia="Times New Roman" w:hAnsi="Times New Roman" w:cs="Times New Roman"/>
                <w:iCs/>
                <w:sz w:val="24"/>
                <w:szCs w:val="24"/>
                <w:lang w:eastAsia="lv-LV"/>
              </w:rPr>
              <w:lastRenderedPageBreak/>
              <w:t>arī precīzi norāda, kad un kādā veidā ES tiesību akta vienība tiks pārņemta vai ieviesta pilnībā.</w:t>
            </w:r>
            <w:r w:rsidRPr="002A4DDD">
              <w:rPr>
                <w:rFonts w:ascii="Times New Roman" w:eastAsia="Times New Roman" w:hAnsi="Times New Roman" w:cs="Times New Roman"/>
                <w:iCs/>
                <w:sz w:val="24"/>
                <w:szCs w:val="24"/>
                <w:lang w:eastAsia="lv-LV"/>
              </w:rPr>
              <w:br/>
              <w:t>Norāda institūciju, kas ir atbildīga par šo saistību izpildi pilnībā</w:t>
            </w:r>
          </w:p>
        </w:tc>
        <w:tc>
          <w:tcPr>
            <w:tcW w:w="1471" w:type="pct"/>
            <w:tcBorders>
              <w:top w:val="outset" w:sz="6" w:space="0" w:color="auto"/>
              <w:left w:val="outset" w:sz="6" w:space="0" w:color="auto"/>
              <w:bottom w:val="outset" w:sz="6" w:space="0" w:color="auto"/>
              <w:right w:val="outset" w:sz="6" w:space="0" w:color="auto"/>
            </w:tcBorders>
            <w:hideMark/>
          </w:tcPr>
          <w:p w14:paraId="6F8BF0ED" w14:textId="77777777" w:rsidR="002F56C7" w:rsidRPr="002A4DDD" w:rsidRDefault="002F56C7" w:rsidP="002F56C7">
            <w:pPr>
              <w:spacing w:after="0" w:line="240" w:lineRule="auto"/>
              <w:rPr>
                <w:rFonts w:ascii="Times New Roman" w:eastAsia="Times New Roman" w:hAnsi="Times New Roman" w:cs="Times New Roman"/>
                <w:iCs/>
                <w:sz w:val="24"/>
                <w:szCs w:val="24"/>
                <w:lang w:eastAsia="lv-LV"/>
              </w:rPr>
            </w:pPr>
            <w:r w:rsidRPr="002A4DDD">
              <w:rPr>
                <w:rFonts w:ascii="Times New Roman" w:eastAsia="Times New Roman" w:hAnsi="Times New Roman" w:cs="Times New Roman"/>
                <w:iCs/>
                <w:sz w:val="24"/>
                <w:szCs w:val="24"/>
                <w:lang w:eastAsia="lv-LV"/>
              </w:rPr>
              <w:lastRenderedPageBreak/>
              <w:t>Informācija par to, vai šīs tabulas B ailē minētās projekta vienības paredz stingrākas prasības nekā šīs tabulas A ailē minētās ES tiesību akta vienības.</w:t>
            </w:r>
            <w:r w:rsidRPr="002A4DDD">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2A4DDD">
              <w:rPr>
                <w:rFonts w:ascii="Times New Roman" w:eastAsia="Times New Roman" w:hAnsi="Times New Roman" w:cs="Times New Roman"/>
                <w:iCs/>
                <w:sz w:val="24"/>
                <w:szCs w:val="24"/>
                <w:lang w:eastAsia="lv-LV"/>
              </w:rPr>
              <w:br/>
              <w:t xml:space="preserve">Norāda iespējamās alternatīvas (t. sk. alternatīvas, kas neparedz tiesiskā regulējuma </w:t>
            </w:r>
            <w:r w:rsidRPr="002A4DDD">
              <w:rPr>
                <w:rFonts w:ascii="Times New Roman" w:eastAsia="Times New Roman" w:hAnsi="Times New Roman" w:cs="Times New Roman"/>
                <w:iCs/>
                <w:sz w:val="24"/>
                <w:szCs w:val="24"/>
                <w:lang w:eastAsia="lv-LV"/>
              </w:rPr>
              <w:lastRenderedPageBreak/>
              <w:t>izstrādi) – kādos gadījumos būtu iespējams izvairīties no stingrāku prasību noteikšanas, nekā paredzēts attiecīgajos ES tiesību aktos</w:t>
            </w:r>
          </w:p>
        </w:tc>
      </w:tr>
      <w:tr w:rsidR="002F56C7" w:rsidRPr="002F56C7" w14:paraId="0B117907"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2021309B" w14:textId="68840534" w:rsidR="009725D2" w:rsidRPr="00D52809" w:rsidRDefault="00200C66" w:rsidP="0040233E">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eastAsia="Times New Roman" w:hAnsi="Times New Roman" w:cs="Times New Roman"/>
                <w:bCs/>
                <w:iCs/>
                <w:sz w:val="24"/>
                <w:szCs w:val="24"/>
                <w:lang w:eastAsia="lv-LV"/>
              </w:rPr>
              <w:lastRenderedPageBreak/>
              <w:t>Direktīvas 2017/2397 10. pants</w:t>
            </w:r>
          </w:p>
        </w:tc>
        <w:tc>
          <w:tcPr>
            <w:tcW w:w="1139" w:type="pct"/>
            <w:tcBorders>
              <w:top w:val="outset" w:sz="6" w:space="0" w:color="auto"/>
              <w:left w:val="outset" w:sz="6" w:space="0" w:color="auto"/>
              <w:bottom w:val="outset" w:sz="6" w:space="0" w:color="auto"/>
              <w:right w:val="outset" w:sz="6" w:space="0" w:color="auto"/>
            </w:tcBorders>
          </w:tcPr>
          <w:p w14:paraId="34527B88" w14:textId="1032D23E" w:rsidR="00446179" w:rsidRPr="00D52809" w:rsidRDefault="00200C66" w:rsidP="006F262A">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Projekta 54. un 59.</w:t>
            </w:r>
            <w:r w:rsidR="006F262A">
              <w:rPr>
                <w:rFonts w:ascii="Times New Roman" w:eastAsia="Times New Roman" w:hAnsi="Times New Roman" w:cs="Times New Roman"/>
                <w:iCs/>
                <w:sz w:val="24"/>
                <w:szCs w:val="24"/>
                <w:lang w:eastAsia="lv-LV"/>
              </w:rPr>
              <w:t> </w:t>
            </w:r>
            <w:r w:rsidRPr="00D52809">
              <w:rPr>
                <w:rFonts w:ascii="Times New Roman" w:eastAsia="Times New Roman" w:hAnsi="Times New Roman" w:cs="Times New Roman"/>
                <w:iCs/>
                <w:sz w:val="24"/>
                <w:szCs w:val="24"/>
                <w:lang w:eastAsia="lv-LV"/>
              </w:rPr>
              <w:t>punkts</w:t>
            </w:r>
          </w:p>
        </w:tc>
        <w:tc>
          <w:tcPr>
            <w:tcW w:w="1002" w:type="pct"/>
            <w:tcBorders>
              <w:top w:val="outset" w:sz="6" w:space="0" w:color="auto"/>
              <w:left w:val="outset" w:sz="6" w:space="0" w:color="auto"/>
              <w:bottom w:val="outset" w:sz="6" w:space="0" w:color="auto"/>
              <w:right w:val="outset" w:sz="6" w:space="0" w:color="auto"/>
            </w:tcBorders>
            <w:hideMark/>
          </w:tcPr>
          <w:p w14:paraId="5B59E659" w14:textId="2332F8C8" w:rsidR="002F56C7"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hideMark/>
          </w:tcPr>
          <w:p w14:paraId="22E6CB49" w14:textId="06342061" w:rsidR="002F56C7"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Neparedz stingrākas prasības</w:t>
            </w:r>
          </w:p>
        </w:tc>
      </w:tr>
      <w:tr w:rsidR="00505D35" w:rsidRPr="002F56C7" w14:paraId="2E72FD07"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4FF45452" w14:textId="628CCAD3" w:rsidR="00505D35" w:rsidRPr="00D52809" w:rsidRDefault="002E1207" w:rsidP="0040233E">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eastAsia="Times New Roman" w:hAnsi="Times New Roman" w:cs="Times New Roman"/>
                <w:bCs/>
                <w:iCs/>
                <w:sz w:val="24"/>
                <w:szCs w:val="24"/>
                <w:lang w:eastAsia="lv-LV"/>
              </w:rPr>
              <w:t>Direktīvas 2017/2397 15. pants</w:t>
            </w:r>
          </w:p>
        </w:tc>
        <w:tc>
          <w:tcPr>
            <w:tcW w:w="1139" w:type="pct"/>
            <w:tcBorders>
              <w:top w:val="outset" w:sz="6" w:space="0" w:color="auto"/>
              <w:left w:val="outset" w:sz="6" w:space="0" w:color="auto"/>
              <w:bottom w:val="outset" w:sz="6" w:space="0" w:color="auto"/>
              <w:right w:val="outset" w:sz="6" w:space="0" w:color="auto"/>
            </w:tcBorders>
          </w:tcPr>
          <w:p w14:paraId="6B539D10" w14:textId="141DE5F8" w:rsidR="00505D35" w:rsidRPr="00D52809" w:rsidRDefault="002E1207"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Projekta 60. punkts</w:t>
            </w:r>
          </w:p>
        </w:tc>
        <w:tc>
          <w:tcPr>
            <w:tcW w:w="1002" w:type="pct"/>
            <w:tcBorders>
              <w:top w:val="outset" w:sz="6" w:space="0" w:color="auto"/>
              <w:left w:val="outset" w:sz="6" w:space="0" w:color="auto"/>
              <w:bottom w:val="outset" w:sz="6" w:space="0" w:color="auto"/>
              <w:right w:val="outset" w:sz="6" w:space="0" w:color="auto"/>
            </w:tcBorders>
          </w:tcPr>
          <w:p w14:paraId="01BD4F66" w14:textId="1C447387" w:rsidR="00505D35" w:rsidRPr="00D52809" w:rsidRDefault="002E1207"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Pārņemts daļēji</w:t>
            </w:r>
          </w:p>
        </w:tc>
        <w:tc>
          <w:tcPr>
            <w:tcW w:w="1471" w:type="pct"/>
            <w:tcBorders>
              <w:top w:val="outset" w:sz="6" w:space="0" w:color="auto"/>
              <w:left w:val="outset" w:sz="6" w:space="0" w:color="auto"/>
              <w:bottom w:val="outset" w:sz="6" w:space="0" w:color="auto"/>
              <w:right w:val="outset" w:sz="6" w:space="0" w:color="auto"/>
            </w:tcBorders>
          </w:tcPr>
          <w:p w14:paraId="569BB4C6" w14:textId="21A69855" w:rsidR="00505D35" w:rsidRPr="00D52809" w:rsidRDefault="002E1207"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Attiecas uz dalībvalstu pienākumu paziņot Eiropas Komisijai attiecīgo informāciju</w:t>
            </w:r>
          </w:p>
        </w:tc>
      </w:tr>
      <w:tr w:rsidR="007918CA" w:rsidRPr="002F56C7" w14:paraId="7BE85021"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08AB2C91" w14:textId="5B45BD26" w:rsidR="007918CA" w:rsidRPr="00D52809" w:rsidRDefault="00B03A45" w:rsidP="0040233E">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eastAsia="Times New Roman" w:hAnsi="Times New Roman" w:cs="Times New Roman"/>
                <w:bCs/>
                <w:iCs/>
                <w:sz w:val="24"/>
                <w:szCs w:val="24"/>
                <w:lang w:eastAsia="lv-LV"/>
              </w:rPr>
              <w:t>Direktīvas 2017/2397 38. pants</w:t>
            </w:r>
          </w:p>
        </w:tc>
        <w:tc>
          <w:tcPr>
            <w:tcW w:w="1139" w:type="pct"/>
            <w:tcBorders>
              <w:top w:val="outset" w:sz="6" w:space="0" w:color="auto"/>
              <w:left w:val="outset" w:sz="6" w:space="0" w:color="auto"/>
              <w:bottom w:val="outset" w:sz="6" w:space="0" w:color="auto"/>
              <w:right w:val="outset" w:sz="6" w:space="0" w:color="auto"/>
            </w:tcBorders>
          </w:tcPr>
          <w:p w14:paraId="29D97997" w14:textId="47AACFAC" w:rsidR="007918CA" w:rsidRPr="00D52809" w:rsidRDefault="00B03A45"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Projekta 54. un 59. punkts</w:t>
            </w:r>
          </w:p>
        </w:tc>
        <w:tc>
          <w:tcPr>
            <w:tcW w:w="1002" w:type="pct"/>
            <w:tcBorders>
              <w:top w:val="outset" w:sz="6" w:space="0" w:color="auto"/>
              <w:left w:val="outset" w:sz="6" w:space="0" w:color="auto"/>
              <w:bottom w:val="outset" w:sz="6" w:space="0" w:color="auto"/>
              <w:right w:val="outset" w:sz="6" w:space="0" w:color="auto"/>
            </w:tcBorders>
          </w:tcPr>
          <w:p w14:paraId="171A5134" w14:textId="14EEAFFE" w:rsidR="007918CA" w:rsidRPr="00D52809" w:rsidRDefault="00D52809" w:rsidP="00B03A45">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67A9E5F8" w14:textId="79CB71D2" w:rsidR="007918CA" w:rsidRPr="00D52809" w:rsidRDefault="00520D76"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7918CA" w:rsidRPr="002F56C7" w14:paraId="6FF3A981"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4691CC8" w14:textId="77777777" w:rsidR="00B03A45" w:rsidRPr="00D52809" w:rsidRDefault="00B03A45"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A56F78E" w14:textId="5F81FD72" w:rsidR="007918CA" w:rsidRPr="00D52809" w:rsidRDefault="00B03A45"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1. panta 44. punkts</w:t>
            </w:r>
          </w:p>
        </w:tc>
        <w:tc>
          <w:tcPr>
            <w:tcW w:w="1139" w:type="pct"/>
            <w:tcBorders>
              <w:top w:val="outset" w:sz="6" w:space="0" w:color="auto"/>
              <w:left w:val="outset" w:sz="6" w:space="0" w:color="auto"/>
              <w:bottom w:val="outset" w:sz="6" w:space="0" w:color="auto"/>
              <w:right w:val="outset" w:sz="6" w:space="0" w:color="auto"/>
            </w:tcBorders>
          </w:tcPr>
          <w:p w14:paraId="1563B5EA" w14:textId="5A95E385" w:rsidR="007918CA" w:rsidRPr="00D52809" w:rsidRDefault="00B03A45"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2.6</w:t>
            </w:r>
            <w:r w:rsidRPr="00D52809">
              <w:rPr>
                <w:rFonts w:ascii="Times New Roman" w:hAnsi="Times New Roman" w:cs="Times New Roman"/>
                <w:sz w:val="24"/>
                <w:szCs w:val="24"/>
                <w:vertAlign w:val="superscript"/>
              </w:rPr>
              <w:t>1 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2D4695BF" w14:textId="23E26F41" w:rsidR="007918CA"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7EB7BA9" w14:textId="0CDA8785" w:rsidR="007918CA" w:rsidRPr="00D52809" w:rsidRDefault="00520D76"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7918CA" w:rsidRPr="002F56C7" w14:paraId="7FC6B2FB"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4B55CC4" w14:textId="77777777" w:rsidR="00B03A45" w:rsidRPr="00D52809" w:rsidRDefault="00B03A45"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71BAB305" w14:textId="4CB4A21F" w:rsidR="007918CA" w:rsidRPr="00D52809" w:rsidRDefault="00B03A45"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1. panta 45. punkts</w:t>
            </w:r>
          </w:p>
        </w:tc>
        <w:tc>
          <w:tcPr>
            <w:tcW w:w="1139" w:type="pct"/>
            <w:tcBorders>
              <w:top w:val="outset" w:sz="6" w:space="0" w:color="auto"/>
              <w:left w:val="outset" w:sz="6" w:space="0" w:color="auto"/>
              <w:bottom w:val="outset" w:sz="6" w:space="0" w:color="auto"/>
              <w:right w:val="outset" w:sz="6" w:space="0" w:color="auto"/>
            </w:tcBorders>
          </w:tcPr>
          <w:p w14:paraId="2272BC15" w14:textId="0215D4E9" w:rsidR="007918CA" w:rsidRPr="00D52809" w:rsidRDefault="00B03A45"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2.6</w:t>
            </w:r>
            <w:r w:rsidRPr="00D52809">
              <w:rPr>
                <w:rFonts w:ascii="Times New Roman" w:hAnsi="Times New Roman" w:cs="Times New Roman"/>
                <w:sz w:val="24"/>
                <w:szCs w:val="24"/>
                <w:vertAlign w:val="superscript"/>
              </w:rPr>
              <w:t>2 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26A62F72" w14:textId="40D2CB22" w:rsidR="007918CA"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5076FCA2" w14:textId="368DA11B" w:rsidR="007918CA" w:rsidRPr="00D52809" w:rsidRDefault="00520D76"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7918CA" w:rsidRPr="002F56C7" w14:paraId="2890656B"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438B8CF5" w14:textId="77777777" w:rsidR="00B03A45" w:rsidRPr="00D52809" w:rsidRDefault="00B03A45"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04CD491D" w14:textId="5BAB69C5" w:rsidR="007918CA" w:rsidRPr="00D52809" w:rsidRDefault="00B03A45"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1. panta 46. punkts</w:t>
            </w:r>
          </w:p>
        </w:tc>
        <w:tc>
          <w:tcPr>
            <w:tcW w:w="1139" w:type="pct"/>
            <w:tcBorders>
              <w:top w:val="outset" w:sz="6" w:space="0" w:color="auto"/>
              <w:left w:val="outset" w:sz="6" w:space="0" w:color="auto"/>
              <w:bottom w:val="outset" w:sz="6" w:space="0" w:color="auto"/>
              <w:right w:val="outset" w:sz="6" w:space="0" w:color="auto"/>
            </w:tcBorders>
          </w:tcPr>
          <w:p w14:paraId="527A8FD0" w14:textId="5C5E4381" w:rsidR="007918CA" w:rsidRPr="00D52809" w:rsidRDefault="00B03A45"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2.6</w:t>
            </w:r>
            <w:r w:rsidRPr="00D52809">
              <w:rPr>
                <w:rFonts w:ascii="Times New Roman" w:hAnsi="Times New Roman" w:cs="Times New Roman"/>
                <w:sz w:val="24"/>
                <w:szCs w:val="24"/>
                <w:vertAlign w:val="superscript"/>
              </w:rPr>
              <w:t>3 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42EBF3D5" w14:textId="71C7ABDE" w:rsidR="007918CA"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70F600FA" w14:textId="726A4D97" w:rsidR="007918CA" w:rsidRPr="00D52809" w:rsidRDefault="00520D76"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7918CA" w:rsidRPr="002F56C7" w14:paraId="78B7228B"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9D02B98"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468F713E" w14:textId="22254BE6" w:rsidR="007918CA"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5.a pants</w:t>
            </w:r>
          </w:p>
        </w:tc>
        <w:tc>
          <w:tcPr>
            <w:tcW w:w="1139" w:type="pct"/>
            <w:tcBorders>
              <w:top w:val="outset" w:sz="6" w:space="0" w:color="auto"/>
              <w:left w:val="outset" w:sz="6" w:space="0" w:color="auto"/>
              <w:bottom w:val="outset" w:sz="6" w:space="0" w:color="auto"/>
              <w:right w:val="outset" w:sz="6" w:space="0" w:color="auto"/>
            </w:tcBorders>
          </w:tcPr>
          <w:p w14:paraId="07F83A48" w14:textId="2469B3EF" w:rsidR="007918CA" w:rsidRPr="00D52809" w:rsidRDefault="00A648DF"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Projekta 11. punkts</w:t>
            </w:r>
          </w:p>
        </w:tc>
        <w:tc>
          <w:tcPr>
            <w:tcW w:w="1002" w:type="pct"/>
            <w:tcBorders>
              <w:top w:val="outset" w:sz="6" w:space="0" w:color="auto"/>
              <w:left w:val="outset" w:sz="6" w:space="0" w:color="auto"/>
              <w:bottom w:val="outset" w:sz="6" w:space="0" w:color="auto"/>
              <w:right w:val="outset" w:sz="6" w:space="0" w:color="auto"/>
            </w:tcBorders>
          </w:tcPr>
          <w:p w14:paraId="58E09F11" w14:textId="14195FA8" w:rsidR="007918CA"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C4330E2" w14:textId="2095580F" w:rsidR="007918CA" w:rsidRPr="00D52809" w:rsidRDefault="00CA489B"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Attiecas uz dalībvalstu pienākumu paziņot Eiropas Komisijai attiecīgo informāciju</w:t>
            </w:r>
          </w:p>
        </w:tc>
      </w:tr>
      <w:tr w:rsidR="007918CA" w:rsidRPr="002F56C7" w14:paraId="20E4BA43"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67EFC97C"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24B52389" w14:textId="75118A10" w:rsidR="007918CA"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5.b panta 1. punkts</w:t>
            </w:r>
          </w:p>
        </w:tc>
        <w:tc>
          <w:tcPr>
            <w:tcW w:w="1139" w:type="pct"/>
            <w:tcBorders>
              <w:top w:val="outset" w:sz="6" w:space="0" w:color="auto"/>
              <w:left w:val="outset" w:sz="6" w:space="0" w:color="auto"/>
              <w:bottom w:val="outset" w:sz="6" w:space="0" w:color="auto"/>
              <w:right w:val="outset" w:sz="6" w:space="0" w:color="auto"/>
            </w:tcBorders>
          </w:tcPr>
          <w:p w14:paraId="54210E1E" w14:textId="3A6952CB" w:rsidR="007918CA" w:rsidRPr="00D52809" w:rsidRDefault="00A648DF"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117., 118. punkts</w:t>
            </w:r>
          </w:p>
        </w:tc>
        <w:tc>
          <w:tcPr>
            <w:tcW w:w="1002" w:type="pct"/>
            <w:tcBorders>
              <w:top w:val="outset" w:sz="6" w:space="0" w:color="auto"/>
              <w:left w:val="outset" w:sz="6" w:space="0" w:color="auto"/>
              <w:bottom w:val="outset" w:sz="6" w:space="0" w:color="auto"/>
              <w:right w:val="outset" w:sz="6" w:space="0" w:color="auto"/>
            </w:tcBorders>
          </w:tcPr>
          <w:p w14:paraId="13277C74" w14:textId="2C777B30" w:rsidR="007918CA"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6CDE22AA" w14:textId="02C05403" w:rsidR="007918CA" w:rsidRPr="00D52809" w:rsidRDefault="00520D76"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7918CA" w:rsidRPr="002F56C7" w14:paraId="667FAB22"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7E8E3313"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01CA6267" w14:textId="304A62A7" w:rsidR="007918CA"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5.b panta 2. punkts</w:t>
            </w:r>
          </w:p>
        </w:tc>
        <w:tc>
          <w:tcPr>
            <w:tcW w:w="1139" w:type="pct"/>
            <w:tcBorders>
              <w:top w:val="outset" w:sz="6" w:space="0" w:color="auto"/>
              <w:left w:val="outset" w:sz="6" w:space="0" w:color="auto"/>
              <w:bottom w:val="outset" w:sz="6" w:space="0" w:color="auto"/>
              <w:right w:val="outset" w:sz="6" w:space="0" w:color="auto"/>
            </w:tcBorders>
          </w:tcPr>
          <w:p w14:paraId="4C2DB686" w14:textId="3B6044EA" w:rsidR="007918CA" w:rsidRPr="00D52809" w:rsidRDefault="00A648DF"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16. nodaļa, 117. punkts, 118. punkts</w:t>
            </w:r>
          </w:p>
        </w:tc>
        <w:tc>
          <w:tcPr>
            <w:tcW w:w="1002" w:type="pct"/>
            <w:tcBorders>
              <w:top w:val="outset" w:sz="6" w:space="0" w:color="auto"/>
              <w:left w:val="outset" w:sz="6" w:space="0" w:color="auto"/>
              <w:bottom w:val="outset" w:sz="6" w:space="0" w:color="auto"/>
              <w:right w:val="outset" w:sz="6" w:space="0" w:color="auto"/>
            </w:tcBorders>
          </w:tcPr>
          <w:p w14:paraId="10C019DD" w14:textId="7EBD9B07" w:rsidR="007918CA"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4ACDBF9" w14:textId="2763AFD0" w:rsidR="007918CA" w:rsidRPr="00D52809" w:rsidRDefault="00520D76"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7918CA" w:rsidRPr="002F56C7" w14:paraId="57D9CAFE"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175EFC09"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4AD522B9" w14:textId="31F7B059" w:rsidR="007918CA"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5.b panta 3. punkts</w:t>
            </w:r>
          </w:p>
        </w:tc>
        <w:tc>
          <w:tcPr>
            <w:tcW w:w="1139" w:type="pct"/>
            <w:tcBorders>
              <w:top w:val="outset" w:sz="6" w:space="0" w:color="auto"/>
              <w:left w:val="outset" w:sz="6" w:space="0" w:color="auto"/>
              <w:bottom w:val="outset" w:sz="6" w:space="0" w:color="auto"/>
              <w:right w:val="outset" w:sz="6" w:space="0" w:color="auto"/>
            </w:tcBorders>
          </w:tcPr>
          <w:p w14:paraId="6DA1F835" w14:textId="27AC1F34" w:rsidR="007918CA" w:rsidRPr="00D52809" w:rsidRDefault="00A648DF"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15. punkts</w:t>
            </w:r>
          </w:p>
        </w:tc>
        <w:tc>
          <w:tcPr>
            <w:tcW w:w="1002" w:type="pct"/>
            <w:tcBorders>
              <w:top w:val="outset" w:sz="6" w:space="0" w:color="auto"/>
              <w:left w:val="outset" w:sz="6" w:space="0" w:color="auto"/>
              <w:bottom w:val="outset" w:sz="6" w:space="0" w:color="auto"/>
              <w:right w:val="outset" w:sz="6" w:space="0" w:color="auto"/>
            </w:tcBorders>
          </w:tcPr>
          <w:p w14:paraId="79BC03C2" w14:textId="4AF15D65" w:rsidR="007918CA"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CE92914" w14:textId="365C854C" w:rsidR="007918CA" w:rsidRPr="00D52809" w:rsidRDefault="00520D76"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505D35" w:rsidRPr="002F56C7" w14:paraId="22D84517"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2E2C6CDA"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lastRenderedPageBreak/>
              <w:t>Direktīvas 2019/1159</w:t>
            </w:r>
          </w:p>
          <w:p w14:paraId="696CC75F" w14:textId="7958BEDC" w:rsidR="00505D35"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5.b panta 4. punkts</w:t>
            </w:r>
          </w:p>
        </w:tc>
        <w:tc>
          <w:tcPr>
            <w:tcW w:w="1139" w:type="pct"/>
            <w:tcBorders>
              <w:top w:val="outset" w:sz="6" w:space="0" w:color="auto"/>
              <w:left w:val="outset" w:sz="6" w:space="0" w:color="auto"/>
              <w:bottom w:val="outset" w:sz="6" w:space="0" w:color="auto"/>
              <w:right w:val="outset" w:sz="6" w:space="0" w:color="auto"/>
            </w:tcBorders>
          </w:tcPr>
          <w:p w14:paraId="0D297FED" w14:textId="3280D2C4" w:rsidR="00505D35" w:rsidRPr="00D52809" w:rsidRDefault="00A648DF"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223. punkts</w:t>
            </w:r>
          </w:p>
        </w:tc>
        <w:tc>
          <w:tcPr>
            <w:tcW w:w="1002" w:type="pct"/>
            <w:tcBorders>
              <w:top w:val="outset" w:sz="6" w:space="0" w:color="auto"/>
              <w:left w:val="outset" w:sz="6" w:space="0" w:color="auto"/>
              <w:bottom w:val="outset" w:sz="6" w:space="0" w:color="auto"/>
              <w:right w:val="outset" w:sz="6" w:space="0" w:color="auto"/>
            </w:tcBorders>
          </w:tcPr>
          <w:p w14:paraId="0C1D569B" w14:textId="641EB883"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5C9031ED" w14:textId="0999572E"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Neparedz stingrākas prasības</w:t>
            </w:r>
          </w:p>
        </w:tc>
      </w:tr>
      <w:tr w:rsidR="00505D35" w:rsidRPr="002F56C7" w14:paraId="40291D89"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6EE97647"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631BAFE5" w14:textId="0D6B7B1B" w:rsidR="00505D35"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5.b panta 5. punkts</w:t>
            </w:r>
          </w:p>
        </w:tc>
        <w:tc>
          <w:tcPr>
            <w:tcW w:w="1139" w:type="pct"/>
            <w:tcBorders>
              <w:top w:val="outset" w:sz="6" w:space="0" w:color="auto"/>
              <w:left w:val="outset" w:sz="6" w:space="0" w:color="auto"/>
              <w:bottom w:val="outset" w:sz="6" w:space="0" w:color="auto"/>
              <w:right w:val="outset" w:sz="6" w:space="0" w:color="auto"/>
            </w:tcBorders>
          </w:tcPr>
          <w:p w14:paraId="3837C84C" w14:textId="21C00D63" w:rsidR="00505D35" w:rsidRPr="00D52809" w:rsidRDefault="00A648DF" w:rsidP="006F262A">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70., 71.</w:t>
            </w:r>
            <w:r w:rsidR="006F262A">
              <w:rPr>
                <w:rFonts w:ascii="Times New Roman" w:hAnsi="Times New Roman" w:cs="Times New Roman"/>
                <w:sz w:val="24"/>
                <w:szCs w:val="24"/>
              </w:rPr>
              <w:t>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4F0BD8DC" w14:textId="205016A1"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48B542E" w14:textId="3B80E1ED"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Neparedz stingrākas prasības</w:t>
            </w:r>
          </w:p>
        </w:tc>
      </w:tr>
      <w:tr w:rsidR="00505D35" w:rsidRPr="002F56C7" w14:paraId="3866B71E"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62A0A612"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7AF8A2FA" w14:textId="480FEB89" w:rsidR="00505D35"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5.b panta 6. punkts</w:t>
            </w:r>
          </w:p>
        </w:tc>
        <w:tc>
          <w:tcPr>
            <w:tcW w:w="1139" w:type="pct"/>
            <w:tcBorders>
              <w:top w:val="outset" w:sz="6" w:space="0" w:color="auto"/>
              <w:left w:val="outset" w:sz="6" w:space="0" w:color="auto"/>
              <w:bottom w:val="outset" w:sz="6" w:space="0" w:color="auto"/>
              <w:right w:val="outset" w:sz="6" w:space="0" w:color="auto"/>
            </w:tcBorders>
          </w:tcPr>
          <w:p w14:paraId="2F914782" w14:textId="1E4F05EE" w:rsidR="00505D35" w:rsidRPr="00D52809" w:rsidRDefault="00A648DF"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113. punkts</w:t>
            </w:r>
          </w:p>
        </w:tc>
        <w:tc>
          <w:tcPr>
            <w:tcW w:w="1002" w:type="pct"/>
            <w:tcBorders>
              <w:top w:val="outset" w:sz="6" w:space="0" w:color="auto"/>
              <w:left w:val="outset" w:sz="6" w:space="0" w:color="auto"/>
              <w:bottom w:val="outset" w:sz="6" w:space="0" w:color="auto"/>
              <w:right w:val="outset" w:sz="6" w:space="0" w:color="auto"/>
            </w:tcBorders>
          </w:tcPr>
          <w:p w14:paraId="73711546" w14:textId="37C765BF"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544A1078" w14:textId="77971A56"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Neparedz stingrākas prasības</w:t>
            </w:r>
          </w:p>
        </w:tc>
      </w:tr>
      <w:tr w:rsidR="00505D35" w:rsidRPr="002F56C7" w14:paraId="19300815"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0626B5C2"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04EC46D6" w14:textId="16178335" w:rsidR="00505D35"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5.b panta 7. punkts</w:t>
            </w:r>
          </w:p>
        </w:tc>
        <w:tc>
          <w:tcPr>
            <w:tcW w:w="1139" w:type="pct"/>
            <w:tcBorders>
              <w:top w:val="outset" w:sz="6" w:space="0" w:color="auto"/>
              <w:left w:val="outset" w:sz="6" w:space="0" w:color="auto"/>
              <w:bottom w:val="outset" w:sz="6" w:space="0" w:color="auto"/>
              <w:right w:val="outset" w:sz="6" w:space="0" w:color="auto"/>
            </w:tcBorders>
          </w:tcPr>
          <w:p w14:paraId="7766261A" w14:textId="2C45D43B" w:rsidR="00505D35" w:rsidRPr="00D52809" w:rsidRDefault="00A648DF" w:rsidP="00B3227C">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117., 118. punkts</w:t>
            </w:r>
          </w:p>
        </w:tc>
        <w:tc>
          <w:tcPr>
            <w:tcW w:w="1002" w:type="pct"/>
            <w:tcBorders>
              <w:top w:val="outset" w:sz="6" w:space="0" w:color="auto"/>
              <w:left w:val="outset" w:sz="6" w:space="0" w:color="auto"/>
              <w:bottom w:val="outset" w:sz="6" w:space="0" w:color="auto"/>
              <w:right w:val="outset" w:sz="6" w:space="0" w:color="auto"/>
            </w:tcBorders>
          </w:tcPr>
          <w:p w14:paraId="24D0B3A6" w14:textId="24BC53DA" w:rsidR="00505D35" w:rsidRPr="00D52809" w:rsidRDefault="00505D35"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7588B90C" w14:textId="67E9A297" w:rsidR="00505D35" w:rsidRPr="00D52809" w:rsidRDefault="00505D35"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505D35" w:rsidRPr="002F56C7" w14:paraId="13EAC78A"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80C65AC"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6FE8A286" w14:textId="6EA550B9" w:rsidR="00505D35"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12. panta 1. punkts</w:t>
            </w:r>
          </w:p>
        </w:tc>
        <w:tc>
          <w:tcPr>
            <w:tcW w:w="1139" w:type="pct"/>
            <w:tcBorders>
              <w:top w:val="outset" w:sz="6" w:space="0" w:color="auto"/>
              <w:left w:val="outset" w:sz="6" w:space="0" w:color="auto"/>
              <w:bottom w:val="outset" w:sz="6" w:space="0" w:color="auto"/>
              <w:right w:val="outset" w:sz="6" w:space="0" w:color="auto"/>
            </w:tcBorders>
          </w:tcPr>
          <w:p w14:paraId="4AAFDA0D" w14:textId="0CB6EA80" w:rsidR="00505D35" w:rsidRPr="00D52809" w:rsidRDefault="00A648DF" w:rsidP="006F262A">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33., 76., 82.</w:t>
            </w:r>
            <w:r w:rsidRPr="00D52809">
              <w:rPr>
                <w:rFonts w:ascii="Times New Roman" w:hAnsi="Times New Roman" w:cs="Times New Roman"/>
                <w:sz w:val="24"/>
                <w:szCs w:val="24"/>
                <w:vertAlign w:val="superscript"/>
              </w:rPr>
              <w:t>2</w:t>
            </w:r>
            <w:r w:rsidRPr="00D52809">
              <w:rPr>
                <w:rFonts w:ascii="Times New Roman" w:hAnsi="Times New Roman" w:cs="Times New Roman"/>
                <w:sz w:val="24"/>
                <w:szCs w:val="24"/>
              </w:rPr>
              <w:t xml:space="preserve">, 84., </w:t>
            </w:r>
            <w:r w:rsidR="006F262A" w:rsidRPr="00D52809">
              <w:rPr>
                <w:rFonts w:ascii="Times New Roman" w:hAnsi="Times New Roman" w:cs="Times New Roman"/>
                <w:sz w:val="24"/>
                <w:szCs w:val="24"/>
              </w:rPr>
              <w:t>105</w:t>
            </w:r>
            <w:r w:rsidR="006F262A">
              <w:rPr>
                <w:rFonts w:ascii="Times New Roman" w:hAnsi="Times New Roman" w:cs="Times New Roman"/>
                <w:sz w:val="24"/>
                <w:szCs w:val="24"/>
              </w:rPr>
              <w:t>. </w:t>
            </w:r>
            <w:r w:rsidR="006F262A" w:rsidRPr="00D52809">
              <w:rPr>
                <w:rFonts w:ascii="Times New Roman" w:hAnsi="Times New Roman" w:cs="Times New Roman"/>
                <w:sz w:val="24"/>
                <w:szCs w:val="24"/>
              </w:rPr>
              <w:t xml:space="preserve">punkts </w:t>
            </w:r>
            <w:r w:rsidR="006F262A">
              <w:rPr>
                <w:rFonts w:ascii="Times New Roman" w:hAnsi="Times New Roman" w:cs="Times New Roman"/>
                <w:sz w:val="24"/>
                <w:szCs w:val="24"/>
              </w:rPr>
              <w:t xml:space="preserve">un </w:t>
            </w:r>
            <w:r w:rsidRPr="00D52809">
              <w:rPr>
                <w:rFonts w:ascii="Times New Roman" w:hAnsi="Times New Roman" w:cs="Times New Roman"/>
                <w:sz w:val="24"/>
                <w:szCs w:val="24"/>
              </w:rPr>
              <w:t>98.1,., 107.1, 114.5, 153.1. </w:t>
            </w:r>
            <w:r w:rsidR="006F262A">
              <w:rPr>
                <w:rFonts w:ascii="Times New Roman" w:hAnsi="Times New Roman" w:cs="Times New Roman"/>
                <w:sz w:val="24"/>
                <w:szCs w:val="24"/>
              </w:rPr>
              <w:t>apakšpunkts</w:t>
            </w:r>
          </w:p>
        </w:tc>
        <w:tc>
          <w:tcPr>
            <w:tcW w:w="1002" w:type="pct"/>
            <w:tcBorders>
              <w:top w:val="outset" w:sz="6" w:space="0" w:color="auto"/>
              <w:left w:val="outset" w:sz="6" w:space="0" w:color="auto"/>
              <w:bottom w:val="outset" w:sz="6" w:space="0" w:color="auto"/>
              <w:right w:val="outset" w:sz="6" w:space="0" w:color="auto"/>
            </w:tcBorders>
          </w:tcPr>
          <w:p w14:paraId="574D09CD" w14:textId="06A1DCBC"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417DD896" w14:textId="0A9DC316" w:rsidR="00505D35" w:rsidRPr="00D52809" w:rsidRDefault="00505D35"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Neparedz stingrākas prasības</w:t>
            </w:r>
          </w:p>
        </w:tc>
      </w:tr>
      <w:tr w:rsidR="00A106FC" w:rsidRPr="002F56C7" w14:paraId="79C5E8DB"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0CADFE89"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5FE544E7" w14:textId="0A0A93C2" w:rsidR="00A106FC"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12. panta 2b punkts</w:t>
            </w:r>
          </w:p>
        </w:tc>
        <w:tc>
          <w:tcPr>
            <w:tcW w:w="1139" w:type="pct"/>
            <w:tcBorders>
              <w:top w:val="outset" w:sz="6" w:space="0" w:color="auto"/>
              <w:left w:val="outset" w:sz="6" w:space="0" w:color="auto"/>
              <w:bottom w:val="outset" w:sz="6" w:space="0" w:color="auto"/>
              <w:right w:val="outset" w:sz="6" w:space="0" w:color="auto"/>
            </w:tcBorders>
          </w:tcPr>
          <w:p w14:paraId="7991387E" w14:textId="66E95BE9" w:rsidR="009447F1" w:rsidRPr="00D52809" w:rsidRDefault="00A648DF"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16</w:t>
            </w:r>
            <w:r w:rsidRPr="00D52809">
              <w:rPr>
                <w:rFonts w:ascii="Times New Roman" w:hAnsi="Times New Roman" w:cs="Times New Roman"/>
                <w:sz w:val="24"/>
                <w:szCs w:val="24"/>
              </w:rPr>
              <w:t> punkts</w:t>
            </w:r>
          </w:p>
        </w:tc>
        <w:tc>
          <w:tcPr>
            <w:tcW w:w="1002" w:type="pct"/>
            <w:tcBorders>
              <w:top w:val="outset" w:sz="6" w:space="0" w:color="auto"/>
              <w:left w:val="outset" w:sz="6" w:space="0" w:color="auto"/>
              <w:bottom w:val="outset" w:sz="6" w:space="0" w:color="auto"/>
              <w:right w:val="outset" w:sz="6" w:space="0" w:color="auto"/>
            </w:tcBorders>
          </w:tcPr>
          <w:p w14:paraId="53312D2A" w14:textId="24C76EC6" w:rsidR="00A106FC" w:rsidRPr="00D52809" w:rsidRDefault="00A106FC"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209E739C" w14:textId="11F15D80" w:rsidR="00A106FC" w:rsidRPr="00D52809" w:rsidRDefault="00A106FC"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Neparedz stingrākas prasības</w:t>
            </w:r>
          </w:p>
        </w:tc>
      </w:tr>
      <w:tr w:rsidR="00A106FC" w:rsidRPr="002F56C7" w14:paraId="5C5717F6"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0D4F1095"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3209FD9E" w14:textId="2D3BED1C" w:rsidR="00A106FC"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12. panta 3. punkts</w:t>
            </w:r>
          </w:p>
        </w:tc>
        <w:tc>
          <w:tcPr>
            <w:tcW w:w="1139" w:type="pct"/>
            <w:tcBorders>
              <w:top w:val="outset" w:sz="6" w:space="0" w:color="auto"/>
              <w:left w:val="outset" w:sz="6" w:space="0" w:color="auto"/>
              <w:bottom w:val="outset" w:sz="6" w:space="0" w:color="auto"/>
              <w:right w:val="outset" w:sz="6" w:space="0" w:color="auto"/>
            </w:tcBorders>
          </w:tcPr>
          <w:p w14:paraId="445359C2" w14:textId="29C0F55F" w:rsidR="009447F1" w:rsidRPr="00D52809" w:rsidRDefault="00A648DF"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76., punkts un 97.</w:t>
            </w:r>
            <w:r w:rsidRPr="00D52809">
              <w:rPr>
                <w:rFonts w:ascii="Times New Roman" w:hAnsi="Times New Roman" w:cs="Times New Roman"/>
                <w:sz w:val="24"/>
                <w:szCs w:val="24"/>
                <w:vertAlign w:val="superscript"/>
              </w:rPr>
              <w:t xml:space="preserve">3 </w:t>
            </w:r>
            <w:r w:rsidRPr="00D52809">
              <w:rPr>
                <w:rFonts w:ascii="Times New Roman" w:hAnsi="Times New Roman" w:cs="Times New Roman"/>
                <w:sz w:val="24"/>
                <w:szCs w:val="24"/>
              </w:rPr>
              <w:t>3</w:t>
            </w:r>
            <w:r w:rsidR="00CA489B">
              <w:rPr>
                <w:rFonts w:ascii="Times New Roman" w:hAnsi="Times New Roman" w:cs="Times New Roman"/>
                <w:sz w:val="24"/>
                <w:szCs w:val="24"/>
              </w:rPr>
              <w:t>.</w:t>
            </w:r>
            <w:r w:rsidRPr="00D52809">
              <w:rPr>
                <w:rFonts w:ascii="Times New Roman" w:hAnsi="Times New Roman" w:cs="Times New Roman"/>
                <w:sz w:val="24"/>
                <w:szCs w:val="24"/>
              </w:rPr>
              <w:t>, 97.</w:t>
            </w:r>
            <w:r w:rsidRPr="00D52809">
              <w:rPr>
                <w:rFonts w:ascii="Times New Roman" w:hAnsi="Times New Roman" w:cs="Times New Roman"/>
                <w:sz w:val="24"/>
                <w:szCs w:val="24"/>
                <w:vertAlign w:val="superscript"/>
              </w:rPr>
              <w:t>3</w:t>
            </w:r>
            <w:r w:rsidRPr="00D52809">
              <w:rPr>
                <w:rFonts w:ascii="Times New Roman" w:hAnsi="Times New Roman" w:cs="Times New Roman"/>
                <w:sz w:val="24"/>
                <w:szCs w:val="24"/>
              </w:rPr>
              <w:t> 4</w:t>
            </w:r>
            <w:r w:rsidR="00CA489B">
              <w:rPr>
                <w:rFonts w:ascii="Times New Roman" w:hAnsi="Times New Roman" w:cs="Times New Roman"/>
                <w:sz w:val="24"/>
                <w:szCs w:val="24"/>
              </w:rPr>
              <w:t>.</w:t>
            </w:r>
            <w:r w:rsidRPr="00D52809">
              <w:rPr>
                <w:rFonts w:ascii="Times New Roman" w:hAnsi="Times New Roman" w:cs="Times New Roman"/>
                <w:sz w:val="24"/>
                <w:szCs w:val="24"/>
              </w:rPr>
              <w:t xml:space="preserve"> apakšpunkts</w:t>
            </w:r>
          </w:p>
        </w:tc>
        <w:tc>
          <w:tcPr>
            <w:tcW w:w="1002" w:type="pct"/>
            <w:tcBorders>
              <w:top w:val="outset" w:sz="6" w:space="0" w:color="auto"/>
              <w:left w:val="outset" w:sz="6" w:space="0" w:color="auto"/>
              <w:bottom w:val="outset" w:sz="6" w:space="0" w:color="auto"/>
              <w:right w:val="outset" w:sz="6" w:space="0" w:color="auto"/>
            </w:tcBorders>
          </w:tcPr>
          <w:p w14:paraId="4CA74CA1" w14:textId="47527C17" w:rsidR="00A106FC" w:rsidRPr="00D52809" w:rsidRDefault="00A106FC"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49339E92" w14:textId="426F5533" w:rsidR="00A106FC" w:rsidRPr="00D52809" w:rsidRDefault="00A106FC" w:rsidP="0040233E">
            <w:pPr>
              <w:spacing w:after="0" w:line="240" w:lineRule="auto"/>
              <w:jc w:val="both"/>
              <w:rPr>
                <w:rFonts w:ascii="Times New Roman" w:eastAsia="Times New Roman" w:hAnsi="Times New Roman" w:cs="Times New Roman"/>
                <w:iCs/>
                <w:sz w:val="24"/>
                <w:szCs w:val="24"/>
                <w:lang w:val="en-US" w:eastAsia="lv-LV"/>
              </w:rPr>
            </w:pPr>
            <w:r w:rsidRPr="00D52809">
              <w:rPr>
                <w:rFonts w:ascii="Times New Roman" w:eastAsia="Times New Roman" w:hAnsi="Times New Roman" w:cs="Times New Roman"/>
                <w:iCs/>
                <w:sz w:val="24"/>
                <w:szCs w:val="24"/>
                <w:lang w:eastAsia="lv-LV"/>
              </w:rPr>
              <w:t>Neparedz stingrākas prasības</w:t>
            </w:r>
          </w:p>
        </w:tc>
      </w:tr>
      <w:tr w:rsidR="00F877D2" w:rsidRPr="002F56C7" w14:paraId="44DD0C90"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4E748F0D"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6AB7E0C8" w14:textId="68A0C4E1" w:rsidR="00F877D2" w:rsidRPr="00D52809" w:rsidRDefault="00A648DF" w:rsidP="00D52809">
            <w:pPr>
              <w:spacing w:after="0" w:line="240" w:lineRule="auto"/>
              <w:jc w:val="both"/>
              <w:rPr>
                <w:rFonts w:ascii="Times New Roman" w:eastAsia="Times New Roman" w:hAnsi="Times New Roman" w:cs="Times New Roman"/>
                <w:bCs/>
                <w:iCs/>
                <w:sz w:val="24"/>
                <w:szCs w:val="24"/>
                <w:lang w:eastAsia="lv-LV"/>
              </w:rPr>
            </w:pPr>
            <w:r w:rsidRPr="00D52809">
              <w:rPr>
                <w:rFonts w:ascii="Times New Roman" w:hAnsi="Times New Roman" w:cs="Times New Roman"/>
                <w:sz w:val="24"/>
                <w:szCs w:val="24"/>
              </w:rPr>
              <w:t>12. panta 3a punkts</w:t>
            </w:r>
          </w:p>
        </w:tc>
        <w:tc>
          <w:tcPr>
            <w:tcW w:w="1139" w:type="pct"/>
            <w:tcBorders>
              <w:top w:val="outset" w:sz="6" w:space="0" w:color="auto"/>
              <w:left w:val="outset" w:sz="6" w:space="0" w:color="auto"/>
              <w:bottom w:val="outset" w:sz="6" w:space="0" w:color="auto"/>
              <w:right w:val="outset" w:sz="6" w:space="0" w:color="auto"/>
            </w:tcBorders>
          </w:tcPr>
          <w:p w14:paraId="2B375A95" w14:textId="04D3B7D0" w:rsidR="00F877D2" w:rsidRPr="00D52809" w:rsidRDefault="00A648DF"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 xml:space="preserve">2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059ADEA0" w14:textId="66E92295" w:rsidR="00F877D2" w:rsidRPr="00D52809" w:rsidRDefault="00F877D2"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215B4118" w14:textId="18E08EB7" w:rsidR="00F877D2" w:rsidRPr="00D52809" w:rsidRDefault="00F877D2"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2C1AB096"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90DDE7A"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2E395101" w14:textId="041CC70A"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19. panta 2. punkts</w:t>
            </w:r>
          </w:p>
        </w:tc>
        <w:tc>
          <w:tcPr>
            <w:tcW w:w="1139" w:type="pct"/>
            <w:tcBorders>
              <w:top w:val="outset" w:sz="6" w:space="0" w:color="auto"/>
              <w:left w:val="outset" w:sz="6" w:space="0" w:color="auto"/>
              <w:bottom w:val="outset" w:sz="6" w:space="0" w:color="auto"/>
              <w:right w:val="outset" w:sz="6" w:space="0" w:color="auto"/>
            </w:tcBorders>
          </w:tcPr>
          <w:p w14:paraId="67E556A6" w14:textId="1A1A3FC9" w:rsidR="00A648DF" w:rsidRPr="00D52809" w:rsidRDefault="00850495" w:rsidP="004023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Sertificēšanas noteikumu 120. </w:t>
            </w:r>
            <w:r w:rsidR="00A648DF"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6439FC7D" w14:textId="54EED271"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F982D9D" w14:textId="64A74372" w:rsidR="00A648DF" w:rsidRPr="00D52809" w:rsidRDefault="00850495"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Attiecas uz dalībvalstu pienākumu paziņot Eiropas Komisijai attiecīgo informāciju</w:t>
            </w:r>
          </w:p>
        </w:tc>
      </w:tr>
      <w:tr w:rsidR="00A648DF" w:rsidRPr="002F56C7" w14:paraId="6E72A649"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4F26E20"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5503A2B3" w14:textId="73779E9C"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19. panta 3. punkts</w:t>
            </w:r>
          </w:p>
        </w:tc>
        <w:tc>
          <w:tcPr>
            <w:tcW w:w="1139" w:type="pct"/>
            <w:tcBorders>
              <w:top w:val="outset" w:sz="6" w:space="0" w:color="auto"/>
              <w:left w:val="outset" w:sz="6" w:space="0" w:color="auto"/>
              <w:bottom w:val="outset" w:sz="6" w:space="0" w:color="auto"/>
              <w:right w:val="outset" w:sz="6" w:space="0" w:color="auto"/>
            </w:tcBorders>
          </w:tcPr>
          <w:p w14:paraId="4A926571" w14:textId="77777777" w:rsidR="00A648DF" w:rsidRPr="00D52809" w:rsidRDefault="00A648DF" w:rsidP="00A648DF">
            <w:pPr>
              <w:rPr>
                <w:rFonts w:ascii="Times New Roman" w:hAnsi="Times New Roman" w:cs="Times New Roman"/>
                <w:sz w:val="24"/>
                <w:szCs w:val="24"/>
              </w:rPr>
            </w:pPr>
            <w:r w:rsidRPr="00D52809">
              <w:rPr>
                <w:rFonts w:ascii="Times New Roman" w:hAnsi="Times New Roman" w:cs="Times New Roman"/>
                <w:sz w:val="24"/>
                <w:szCs w:val="24"/>
              </w:rPr>
              <w:t>Projekta 48. punkts</w:t>
            </w:r>
          </w:p>
          <w:p w14:paraId="078595C8" w14:textId="77777777" w:rsidR="00A648DF" w:rsidRPr="00D52809" w:rsidRDefault="00A648DF" w:rsidP="0040233E">
            <w:pPr>
              <w:spacing w:after="0" w:line="240" w:lineRule="auto"/>
              <w:jc w:val="both"/>
              <w:rPr>
                <w:rFonts w:ascii="Times New Roman" w:hAnsi="Times New Roman" w:cs="Times New Roman"/>
                <w:sz w:val="24"/>
                <w:szCs w:val="24"/>
              </w:rPr>
            </w:pPr>
          </w:p>
        </w:tc>
        <w:tc>
          <w:tcPr>
            <w:tcW w:w="1002" w:type="pct"/>
            <w:tcBorders>
              <w:top w:val="outset" w:sz="6" w:space="0" w:color="auto"/>
              <w:left w:val="outset" w:sz="6" w:space="0" w:color="auto"/>
              <w:bottom w:val="outset" w:sz="6" w:space="0" w:color="auto"/>
              <w:right w:val="outset" w:sz="6" w:space="0" w:color="auto"/>
            </w:tcBorders>
          </w:tcPr>
          <w:p w14:paraId="2ACFCA96" w14:textId="690C1CA1"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09BA76D" w14:textId="10D21430" w:rsidR="00A648DF" w:rsidRPr="00D52809" w:rsidRDefault="00CA489B"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Attiecas uz dalībvalstu pienākumu paziņot Eiropas Komisijai attiecīgo informāciju</w:t>
            </w:r>
          </w:p>
        </w:tc>
      </w:tr>
      <w:tr w:rsidR="00A648DF" w:rsidRPr="002F56C7" w14:paraId="2DC3CEE9"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6B0C6D5A"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39277EE0" w14:textId="56CC05F0"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25. a panta 1. punkts</w:t>
            </w:r>
          </w:p>
        </w:tc>
        <w:tc>
          <w:tcPr>
            <w:tcW w:w="1139" w:type="pct"/>
            <w:tcBorders>
              <w:top w:val="outset" w:sz="6" w:space="0" w:color="auto"/>
              <w:left w:val="outset" w:sz="6" w:space="0" w:color="auto"/>
              <w:bottom w:val="outset" w:sz="6" w:space="0" w:color="auto"/>
              <w:right w:val="outset" w:sz="6" w:space="0" w:color="auto"/>
            </w:tcBorders>
          </w:tcPr>
          <w:p w14:paraId="3B3B2753" w14:textId="6BE571D5"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Projekta 11. punkts</w:t>
            </w:r>
          </w:p>
        </w:tc>
        <w:tc>
          <w:tcPr>
            <w:tcW w:w="1002" w:type="pct"/>
            <w:tcBorders>
              <w:top w:val="outset" w:sz="6" w:space="0" w:color="auto"/>
              <w:left w:val="outset" w:sz="6" w:space="0" w:color="auto"/>
              <w:bottom w:val="outset" w:sz="6" w:space="0" w:color="auto"/>
              <w:right w:val="outset" w:sz="6" w:space="0" w:color="auto"/>
            </w:tcBorders>
          </w:tcPr>
          <w:p w14:paraId="67606DB9" w14:textId="10B335B1"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795E327D" w14:textId="3DDE0170" w:rsidR="00A648DF" w:rsidRPr="00D52809" w:rsidRDefault="00CA489B"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Attiecas uz dalībvalstu pienākumu paziņot Eiropas Komisijai attiecīgo informāciju</w:t>
            </w:r>
          </w:p>
        </w:tc>
      </w:tr>
      <w:tr w:rsidR="00A648DF" w:rsidRPr="002F56C7" w14:paraId="2623CF16"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285D157B"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1911E58" w14:textId="160DE734"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1. punkts</w:t>
            </w:r>
          </w:p>
        </w:tc>
        <w:tc>
          <w:tcPr>
            <w:tcW w:w="1139" w:type="pct"/>
            <w:tcBorders>
              <w:top w:val="outset" w:sz="6" w:space="0" w:color="auto"/>
              <w:left w:val="outset" w:sz="6" w:space="0" w:color="auto"/>
              <w:bottom w:val="outset" w:sz="6" w:space="0" w:color="auto"/>
              <w:right w:val="outset" w:sz="6" w:space="0" w:color="auto"/>
            </w:tcBorders>
          </w:tcPr>
          <w:p w14:paraId="0745CB06" w14:textId="55AEC467" w:rsidR="00A648DF" w:rsidRPr="00D52809" w:rsidRDefault="00A648DF" w:rsidP="006F262A">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12.2</w:t>
            </w:r>
            <w:r w:rsidR="006F262A">
              <w:rPr>
                <w:rFonts w:ascii="Times New Roman" w:hAnsi="Times New Roman" w:cs="Times New Roman"/>
                <w:sz w:val="24"/>
                <w:szCs w:val="24"/>
              </w:rPr>
              <w:t> a</w:t>
            </w:r>
            <w:r w:rsidRPr="00D52809">
              <w:rPr>
                <w:rFonts w:ascii="Times New Roman" w:hAnsi="Times New Roman" w:cs="Times New Roman"/>
                <w:sz w:val="24"/>
                <w:szCs w:val="24"/>
              </w:rPr>
              <w:t>pakšnodaļa</w:t>
            </w:r>
          </w:p>
        </w:tc>
        <w:tc>
          <w:tcPr>
            <w:tcW w:w="1002" w:type="pct"/>
            <w:tcBorders>
              <w:top w:val="outset" w:sz="6" w:space="0" w:color="auto"/>
              <w:left w:val="outset" w:sz="6" w:space="0" w:color="auto"/>
              <w:bottom w:val="outset" w:sz="6" w:space="0" w:color="auto"/>
              <w:right w:val="outset" w:sz="6" w:space="0" w:color="auto"/>
            </w:tcBorders>
          </w:tcPr>
          <w:p w14:paraId="1B8A495F" w14:textId="461F7BAD"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232D9116" w14:textId="5EADD897"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25B5DB4E"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16419EBB"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20943CF4" w14:textId="6E7327B9"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3. punkts</w:t>
            </w:r>
          </w:p>
        </w:tc>
        <w:tc>
          <w:tcPr>
            <w:tcW w:w="1139" w:type="pct"/>
            <w:tcBorders>
              <w:top w:val="outset" w:sz="6" w:space="0" w:color="auto"/>
              <w:left w:val="outset" w:sz="6" w:space="0" w:color="auto"/>
              <w:bottom w:val="outset" w:sz="6" w:space="0" w:color="auto"/>
              <w:right w:val="outset" w:sz="6" w:space="0" w:color="auto"/>
            </w:tcBorders>
          </w:tcPr>
          <w:p w14:paraId="71F32192" w14:textId="2C9B8708"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85. punkts</w:t>
            </w:r>
          </w:p>
        </w:tc>
        <w:tc>
          <w:tcPr>
            <w:tcW w:w="1002" w:type="pct"/>
            <w:tcBorders>
              <w:top w:val="outset" w:sz="6" w:space="0" w:color="auto"/>
              <w:left w:val="outset" w:sz="6" w:space="0" w:color="auto"/>
              <w:bottom w:val="outset" w:sz="6" w:space="0" w:color="auto"/>
              <w:right w:val="outset" w:sz="6" w:space="0" w:color="auto"/>
            </w:tcBorders>
          </w:tcPr>
          <w:p w14:paraId="175BE271" w14:textId="40D8746A"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B0ABB07" w14:textId="4E5AFC23"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3FB76F38"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49C56564"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lastRenderedPageBreak/>
              <w:t>Direktīvas 2019/1159</w:t>
            </w:r>
          </w:p>
          <w:p w14:paraId="5BA4DCCE" w14:textId="34CF812D"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4.  punkts</w:t>
            </w:r>
          </w:p>
        </w:tc>
        <w:tc>
          <w:tcPr>
            <w:tcW w:w="1139" w:type="pct"/>
            <w:tcBorders>
              <w:top w:val="outset" w:sz="6" w:space="0" w:color="auto"/>
              <w:left w:val="outset" w:sz="6" w:space="0" w:color="auto"/>
              <w:bottom w:val="outset" w:sz="6" w:space="0" w:color="auto"/>
              <w:right w:val="outset" w:sz="6" w:space="0" w:color="auto"/>
            </w:tcBorders>
          </w:tcPr>
          <w:p w14:paraId="5EB7A054" w14:textId="646C6737"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 punkts</w:t>
            </w:r>
          </w:p>
        </w:tc>
        <w:tc>
          <w:tcPr>
            <w:tcW w:w="1002" w:type="pct"/>
            <w:tcBorders>
              <w:top w:val="outset" w:sz="6" w:space="0" w:color="auto"/>
              <w:left w:val="outset" w:sz="6" w:space="0" w:color="auto"/>
              <w:bottom w:val="outset" w:sz="6" w:space="0" w:color="auto"/>
              <w:right w:val="outset" w:sz="6" w:space="0" w:color="auto"/>
            </w:tcBorders>
          </w:tcPr>
          <w:p w14:paraId="458E9A05" w14:textId="4AF6D4CF"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AB7940D" w14:textId="1387980B"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0196BB47"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3D467F16"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2B7C92F5" w14:textId="54863EA4"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6.  punkts</w:t>
            </w:r>
          </w:p>
        </w:tc>
        <w:tc>
          <w:tcPr>
            <w:tcW w:w="1139" w:type="pct"/>
            <w:tcBorders>
              <w:top w:val="outset" w:sz="6" w:space="0" w:color="auto"/>
              <w:left w:val="outset" w:sz="6" w:space="0" w:color="auto"/>
              <w:bottom w:val="outset" w:sz="6" w:space="0" w:color="auto"/>
              <w:right w:val="outset" w:sz="6" w:space="0" w:color="auto"/>
            </w:tcBorders>
          </w:tcPr>
          <w:p w14:paraId="651E86AF" w14:textId="33FED208" w:rsidR="00A648DF" w:rsidRPr="00D52809" w:rsidRDefault="00A648DF" w:rsidP="006F262A">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85.2.</w:t>
            </w:r>
            <w:r w:rsidR="006F262A">
              <w:rPr>
                <w:rFonts w:ascii="Times New Roman" w:hAnsi="Times New Roman" w:cs="Times New Roman"/>
                <w:sz w:val="24"/>
                <w:szCs w:val="24"/>
              </w:rPr>
              <w:t> </w:t>
            </w:r>
            <w:r w:rsidRPr="00D52809">
              <w:rPr>
                <w:rFonts w:ascii="Times New Roman" w:hAnsi="Times New Roman" w:cs="Times New Roman"/>
                <w:sz w:val="24"/>
                <w:szCs w:val="24"/>
              </w:rPr>
              <w:t>apakšpunkts</w:t>
            </w:r>
          </w:p>
        </w:tc>
        <w:tc>
          <w:tcPr>
            <w:tcW w:w="1002" w:type="pct"/>
            <w:tcBorders>
              <w:top w:val="outset" w:sz="6" w:space="0" w:color="auto"/>
              <w:left w:val="outset" w:sz="6" w:space="0" w:color="auto"/>
              <w:bottom w:val="outset" w:sz="6" w:space="0" w:color="auto"/>
              <w:right w:val="outset" w:sz="6" w:space="0" w:color="auto"/>
            </w:tcBorders>
          </w:tcPr>
          <w:p w14:paraId="5F21E4ED" w14:textId="7A4EDBEB"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25853E1" w14:textId="60EB0119"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19470722"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1F5514A6"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31673AC7" w14:textId="1E05E92B"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7. punkts</w:t>
            </w:r>
          </w:p>
        </w:tc>
        <w:tc>
          <w:tcPr>
            <w:tcW w:w="1139" w:type="pct"/>
            <w:tcBorders>
              <w:top w:val="outset" w:sz="6" w:space="0" w:color="auto"/>
              <w:left w:val="outset" w:sz="6" w:space="0" w:color="auto"/>
              <w:bottom w:val="outset" w:sz="6" w:space="0" w:color="auto"/>
              <w:right w:val="outset" w:sz="6" w:space="0" w:color="auto"/>
            </w:tcBorders>
          </w:tcPr>
          <w:p w14:paraId="6046BFEE" w14:textId="34E47BB7"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85.1.</w:t>
            </w:r>
            <w:r w:rsidR="00850495">
              <w:rPr>
                <w:rFonts w:ascii="Times New Roman" w:hAnsi="Times New Roman" w:cs="Times New Roman"/>
                <w:sz w:val="24"/>
                <w:szCs w:val="24"/>
              </w:rPr>
              <w:t> </w:t>
            </w:r>
            <w:r w:rsidRPr="00D52809">
              <w:rPr>
                <w:rFonts w:ascii="Times New Roman" w:hAnsi="Times New Roman" w:cs="Times New Roman"/>
                <w:sz w:val="24"/>
                <w:szCs w:val="24"/>
              </w:rPr>
              <w:t>apakšpunkts</w:t>
            </w:r>
          </w:p>
        </w:tc>
        <w:tc>
          <w:tcPr>
            <w:tcW w:w="1002" w:type="pct"/>
            <w:tcBorders>
              <w:top w:val="outset" w:sz="6" w:space="0" w:color="auto"/>
              <w:left w:val="outset" w:sz="6" w:space="0" w:color="auto"/>
              <w:bottom w:val="outset" w:sz="6" w:space="0" w:color="auto"/>
              <w:right w:val="outset" w:sz="6" w:space="0" w:color="auto"/>
            </w:tcBorders>
          </w:tcPr>
          <w:p w14:paraId="153DECEC" w14:textId="3E57B497"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3B6DCF3" w14:textId="329600DD"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0EF0A8F3"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10364EFA"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3D488DC1" w14:textId="0E80914F"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8. punkts</w:t>
            </w:r>
          </w:p>
        </w:tc>
        <w:tc>
          <w:tcPr>
            <w:tcW w:w="1139" w:type="pct"/>
            <w:tcBorders>
              <w:top w:val="outset" w:sz="6" w:space="0" w:color="auto"/>
              <w:left w:val="outset" w:sz="6" w:space="0" w:color="auto"/>
              <w:bottom w:val="outset" w:sz="6" w:space="0" w:color="auto"/>
              <w:right w:val="outset" w:sz="6" w:space="0" w:color="auto"/>
            </w:tcBorders>
          </w:tcPr>
          <w:p w14:paraId="2372EE2C" w14:textId="6CD6AD88"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85.4.</w:t>
            </w:r>
            <w:r w:rsidR="00850495">
              <w:rPr>
                <w:rFonts w:ascii="Times New Roman" w:hAnsi="Times New Roman" w:cs="Times New Roman"/>
                <w:sz w:val="24"/>
                <w:szCs w:val="24"/>
              </w:rPr>
              <w:t> </w:t>
            </w:r>
            <w:r w:rsidRPr="00D52809">
              <w:rPr>
                <w:rFonts w:ascii="Times New Roman" w:hAnsi="Times New Roman" w:cs="Times New Roman"/>
                <w:sz w:val="24"/>
                <w:szCs w:val="24"/>
              </w:rPr>
              <w:t>apakšpunkts</w:t>
            </w:r>
          </w:p>
        </w:tc>
        <w:tc>
          <w:tcPr>
            <w:tcW w:w="1002" w:type="pct"/>
            <w:tcBorders>
              <w:top w:val="outset" w:sz="6" w:space="0" w:color="auto"/>
              <w:left w:val="outset" w:sz="6" w:space="0" w:color="auto"/>
              <w:bottom w:val="outset" w:sz="6" w:space="0" w:color="auto"/>
              <w:right w:val="outset" w:sz="6" w:space="0" w:color="auto"/>
            </w:tcBorders>
          </w:tcPr>
          <w:p w14:paraId="0B27C549" w14:textId="45B7E630"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FC836F2" w14:textId="3FABDD86"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1D12E029"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12F87D30"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25FC6037" w14:textId="61E75854"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9. punkts</w:t>
            </w:r>
          </w:p>
        </w:tc>
        <w:tc>
          <w:tcPr>
            <w:tcW w:w="1139" w:type="pct"/>
            <w:tcBorders>
              <w:top w:val="outset" w:sz="6" w:space="0" w:color="auto"/>
              <w:left w:val="outset" w:sz="6" w:space="0" w:color="auto"/>
              <w:bottom w:val="outset" w:sz="6" w:space="0" w:color="auto"/>
              <w:right w:val="outset" w:sz="6" w:space="0" w:color="auto"/>
            </w:tcBorders>
          </w:tcPr>
          <w:p w14:paraId="5E03D367" w14:textId="6B28BB82"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85.3.</w:t>
            </w:r>
            <w:r w:rsidR="00850495">
              <w:rPr>
                <w:rFonts w:ascii="Times New Roman" w:hAnsi="Times New Roman" w:cs="Times New Roman"/>
                <w:sz w:val="24"/>
                <w:szCs w:val="24"/>
              </w:rPr>
              <w:t> </w:t>
            </w:r>
            <w:r w:rsidRPr="00D52809">
              <w:rPr>
                <w:rFonts w:ascii="Times New Roman" w:hAnsi="Times New Roman" w:cs="Times New Roman"/>
                <w:sz w:val="24"/>
                <w:szCs w:val="24"/>
              </w:rPr>
              <w:t>apakšpunkts</w:t>
            </w:r>
          </w:p>
        </w:tc>
        <w:tc>
          <w:tcPr>
            <w:tcW w:w="1002" w:type="pct"/>
            <w:tcBorders>
              <w:top w:val="outset" w:sz="6" w:space="0" w:color="auto"/>
              <w:left w:val="outset" w:sz="6" w:space="0" w:color="auto"/>
              <w:bottom w:val="outset" w:sz="6" w:space="0" w:color="auto"/>
              <w:right w:val="outset" w:sz="6" w:space="0" w:color="auto"/>
            </w:tcBorders>
          </w:tcPr>
          <w:p w14:paraId="53D203D0" w14:textId="3B069767"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AE923E5" w14:textId="3F5E4335"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31777B68"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C7E5251"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DD66F43" w14:textId="7528D7F9"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V/2 noteikumu 10.  punkts</w:t>
            </w:r>
          </w:p>
        </w:tc>
        <w:tc>
          <w:tcPr>
            <w:tcW w:w="1139" w:type="pct"/>
            <w:tcBorders>
              <w:top w:val="outset" w:sz="6" w:space="0" w:color="auto"/>
              <w:left w:val="outset" w:sz="6" w:space="0" w:color="auto"/>
              <w:bottom w:val="outset" w:sz="6" w:space="0" w:color="auto"/>
              <w:right w:val="outset" w:sz="6" w:space="0" w:color="auto"/>
            </w:tcBorders>
          </w:tcPr>
          <w:p w14:paraId="467729D7" w14:textId="482EFD04"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 punkts</w:t>
            </w:r>
          </w:p>
        </w:tc>
        <w:tc>
          <w:tcPr>
            <w:tcW w:w="1002" w:type="pct"/>
            <w:tcBorders>
              <w:top w:val="outset" w:sz="6" w:space="0" w:color="auto"/>
              <w:left w:val="outset" w:sz="6" w:space="0" w:color="auto"/>
              <w:bottom w:val="outset" w:sz="6" w:space="0" w:color="auto"/>
              <w:right w:val="outset" w:sz="6" w:space="0" w:color="auto"/>
            </w:tcBorders>
          </w:tcPr>
          <w:p w14:paraId="648D0867" w14:textId="06EB2DB4"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1883575" w14:textId="1E4526D1"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5AAC3490"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3CD466BE"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59B66D60" w14:textId="3B766343"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1. punkts</w:t>
            </w:r>
          </w:p>
        </w:tc>
        <w:tc>
          <w:tcPr>
            <w:tcW w:w="1139" w:type="pct"/>
            <w:tcBorders>
              <w:top w:val="outset" w:sz="6" w:space="0" w:color="auto"/>
              <w:left w:val="outset" w:sz="6" w:space="0" w:color="auto"/>
              <w:bottom w:val="outset" w:sz="6" w:space="0" w:color="auto"/>
              <w:right w:val="outset" w:sz="6" w:space="0" w:color="auto"/>
            </w:tcBorders>
          </w:tcPr>
          <w:p w14:paraId="468EE90C" w14:textId="01D14B3E"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2</w:t>
            </w:r>
            <w:r w:rsidRPr="00D52809">
              <w:rPr>
                <w:rFonts w:ascii="Times New Roman" w:hAnsi="Times New Roman" w:cs="Times New Roman"/>
                <w:sz w:val="24"/>
                <w:szCs w:val="24"/>
              </w:rPr>
              <w:t>, 86.</w:t>
            </w:r>
            <w:r w:rsidRPr="00D52809">
              <w:rPr>
                <w:rFonts w:ascii="Times New Roman" w:hAnsi="Times New Roman" w:cs="Times New Roman"/>
                <w:sz w:val="24"/>
                <w:szCs w:val="24"/>
                <w:vertAlign w:val="superscript"/>
              </w:rPr>
              <w:t>4</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738F3DC9" w14:textId="0744F95B"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59422C59" w14:textId="5DEEDC3E"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2A46AB76"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77FFF012"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0FA535E1" w14:textId="30A9E0F2"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4.  punkts</w:t>
            </w:r>
          </w:p>
        </w:tc>
        <w:tc>
          <w:tcPr>
            <w:tcW w:w="1139" w:type="pct"/>
            <w:tcBorders>
              <w:top w:val="outset" w:sz="6" w:space="0" w:color="auto"/>
              <w:left w:val="outset" w:sz="6" w:space="0" w:color="auto"/>
              <w:bottom w:val="outset" w:sz="6" w:space="0" w:color="auto"/>
              <w:right w:val="outset" w:sz="6" w:space="0" w:color="auto"/>
            </w:tcBorders>
          </w:tcPr>
          <w:p w14:paraId="5010BC06" w14:textId="1AADAEFB"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1. apakšpunkts</w:t>
            </w:r>
          </w:p>
        </w:tc>
        <w:tc>
          <w:tcPr>
            <w:tcW w:w="1002" w:type="pct"/>
            <w:tcBorders>
              <w:top w:val="outset" w:sz="6" w:space="0" w:color="auto"/>
              <w:left w:val="outset" w:sz="6" w:space="0" w:color="auto"/>
              <w:bottom w:val="outset" w:sz="6" w:space="0" w:color="auto"/>
              <w:right w:val="outset" w:sz="6" w:space="0" w:color="auto"/>
            </w:tcBorders>
          </w:tcPr>
          <w:p w14:paraId="2D0A105E" w14:textId="7C1EDCEA"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7622A5FC" w14:textId="2F8418D5"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512615A3"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47BA9ECA"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6DF3BF7E" w14:textId="5D6A9255"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5.  punkts</w:t>
            </w:r>
          </w:p>
        </w:tc>
        <w:tc>
          <w:tcPr>
            <w:tcW w:w="1139" w:type="pct"/>
            <w:tcBorders>
              <w:top w:val="outset" w:sz="6" w:space="0" w:color="auto"/>
              <w:left w:val="outset" w:sz="6" w:space="0" w:color="auto"/>
              <w:bottom w:val="outset" w:sz="6" w:space="0" w:color="auto"/>
              <w:right w:val="outset" w:sz="6" w:space="0" w:color="auto"/>
            </w:tcBorders>
          </w:tcPr>
          <w:p w14:paraId="3B063BD6" w14:textId="74BBB50F"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1. apakšpunkts</w:t>
            </w:r>
          </w:p>
        </w:tc>
        <w:tc>
          <w:tcPr>
            <w:tcW w:w="1002" w:type="pct"/>
            <w:tcBorders>
              <w:top w:val="outset" w:sz="6" w:space="0" w:color="auto"/>
              <w:left w:val="outset" w:sz="6" w:space="0" w:color="auto"/>
              <w:bottom w:val="outset" w:sz="6" w:space="0" w:color="auto"/>
              <w:right w:val="outset" w:sz="6" w:space="0" w:color="auto"/>
            </w:tcBorders>
          </w:tcPr>
          <w:p w14:paraId="79324C57" w14:textId="470DFA70"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9A7B060" w14:textId="79B962D7"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07F9CF9C"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4C340346"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46E33F3D" w14:textId="026E801B"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6.  punkts</w:t>
            </w:r>
          </w:p>
        </w:tc>
        <w:tc>
          <w:tcPr>
            <w:tcW w:w="1139" w:type="pct"/>
            <w:tcBorders>
              <w:top w:val="outset" w:sz="6" w:space="0" w:color="auto"/>
              <w:left w:val="outset" w:sz="6" w:space="0" w:color="auto"/>
              <w:bottom w:val="outset" w:sz="6" w:space="0" w:color="auto"/>
              <w:right w:val="outset" w:sz="6" w:space="0" w:color="auto"/>
            </w:tcBorders>
          </w:tcPr>
          <w:p w14:paraId="16FDE68C" w14:textId="136D9DEC"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w:t>
            </w:r>
            <w:r w:rsidRPr="00D52809">
              <w:rPr>
                <w:rFonts w:ascii="Times New Roman" w:hAnsi="Times New Roman" w:cs="Times New Roman"/>
                <w:sz w:val="24"/>
                <w:szCs w:val="24"/>
              </w:rPr>
              <w:t xml:space="preserve"> 2. apakšpunkts</w:t>
            </w:r>
          </w:p>
        </w:tc>
        <w:tc>
          <w:tcPr>
            <w:tcW w:w="1002" w:type="pct"/>
            <w:tcBorders>
              <w:top w:val="outset" w:sz="6" w:space="0" w:color="auto"/>
              <w:left w:val="outset" w:sz="6" w:space="0" w:color="auto"/>
              <w:bottom w:val="outset" w:sz="6" w:space="0" w:color="auto"/>
              <w:right w:val="outset" w:sz="6" w:space="0" w:color="auto"/>
            </w:tcBorders>
          </w:tcPr>
          <w:p w14:paraId="2582451B" w14:textId="7E4D7738"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1A1D1C9" w14:textId="5811CC8A"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270350B7"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5ED29145"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6D095E4" w14:textId="4F1BFD60"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7.  punkts</w:t>
            </w:r>
          </w:p>
        </w:tc>
        <w:tc>
          <w:tcPr>
            <w:tcW w:w="1139" w:type="pct"/>
            <w:tcBorders>
              <w:top w:val="outset" w:sz="6" w:space="0" w:color="auto"/>
              <w:left w:val="outset" w:sz="6" w:space="0" w:color="auto"/>
              <w:bottom w:val="outset" w:sz="6" w:space="0" w:color="auto"/>
              <w:right w:val="outset" w:sz="6" w:space="0" w:color="auto"/>
            </w:tcBorders>
          </w:tcPr>
          <w:p w14:paraId="5B131A20" w14:textId="5681665E"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4 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06DE36B7" w14:textId="7CE3AC0E"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5E5ABFA" w14:textId="3DE09C7B"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48EB9DBD"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390C8483" w14:textId="77777777"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646C887D" w14:textId="30447054" w:rsidR="00A648DF" w:rsidRPr="00D52809" w:rsidRDefault="00A648DF" w:rsidP="00D52809">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8.1.  punkts</w:t>
            </w:r>
          </w:p>
        </w:tc>
        <w:tc>
          <w:tcPr>
            <w:tcW w:w="1139" w:type="pct"/>
            <w:tcBorders>
              <w:top w:val="outset" w:sz="6" w:space="0" w:color="auto"/>
              <w:left w:val="outset" w:sz="6" w:space="0" w:color="auto"/>
              <w:bottom w:val="outset" w:sz="6" w:space="0" w:color="auto"/>
              <w:right w:val="outset" w:sz="6" w:space="0" w:color="auto"/>
            </w:tcBorders>
          </w:tcPr>
          <w:p w14:paraId="32BD1AC6" w14:textId="7A6D9404"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3</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3. apakšpunkts</w:t>
            </w:r>
          </w:p>
        </w:tc>
        <w:tc>
          <w:tcPr>
            <w:tcW w:w="1002" w:type="pct"/>
            <w:tcBorders>
              <w:top w:val="outset" w:sz="6" w:space="0" w:color="auto"/>
              <w:left w:val="outset" w:sz="6" w:space="0" w:color="auto"/>
              <w:bottom w:val="outset" w:sz="6" w:space="0" w:color="auto"/>
              <w:right w:val="outset" w:sz="6" w:space="0" w:color="auto"/>
            </w:tcBorders>
          </w:tcPr>
          <w:p w14:paraId="1BB8DEF8" w14:textId="454C9A15"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E4E9D0C" w14:textId="6CDFE60F"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400D7AAD"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724E2FA0" w14:textId="77777777" w:rsidR="00520D76" w:rsidRPr="00D52809" w:rsidRDefault="00520D76"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73A853BB" w14:textId="3AB26E2E"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8.2.  punkts</w:t>
            </w:r>
          </w:p>
        </w:tc>
        <w:tc>
          <w:tcPr>
            <w:tcW w:w="1139" w:type="pct"/>
            <w:tcBorders>
              <w:top w:val="outset" w:sz="6" w:space="0" w:color="auto"/>
              <w:left w:val="outset" w:sz="6" w:space="0" w:color="auto"/>
              <w:bottom w:val="outset" w:sz="6" w:space="0" w:color="auto"/>
              <w:right w:val="outset" w:sz="6" w:space="0" w:color="auto"/>
            </w:tcBorders>
          </w:tcPr>
          <w:p w14:paraId="1BA11FA7" w14:textId="6353C7A5"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3</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2. apakšpunkts</w:t>
            </w:r>
          </w:p>
        </w:tc>
        <w:tc>
          <w:tcPr>
            <w:tcW w:w="1002" w:type="pct"/>
            <w:tcBorders>
              <w:top w:val="outset" w:sz="6" w:space="0" w:color="auto"/>
              <w:left w:val="outset" w:sz="6" w:space="0" w:color="auto"/>
              <w:bottom w:val="outset" w:sz="6" w:space="0" w:color="auto"/>
              <w:right w:val="outset" w:sz="6" w:space="0" w:color="auto"/>
            </w:tcBorders>
          </w:tcPr>
          <w:p w14:paraId="0F4800BE" w14:textId="26C0015B"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58513FE8" w14:textId="6489C34F"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78325DED"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7FCCBFEA"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05CD738A" w14:textId="6CEB6D1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9.  punkts</w:t>
            </w:r>
          </w:p>
        </w:tc>
        <w:tc>
          <w:tcPr>
            <w:tcW w:w="1139" w:type="pct"/>
            <w:tcBorders>
              <w:top w:val="outset" w:sz="6" w:space="0" w:color="auto"/>
              <w:left w:val="outset" w:sz="6" w:space="0" w:color="auto"/>
              <w:bottom w:val="outset" w:sz="6" w:space="0" w:color="auto"/>
              <w:right w:val="outset" w:sz="6" w:space="0" w:color="auto"/>
            </w:tcBorders>
          </w:tcPr>
          <w:p w14:paraId="35D63712" w14:textId="44647269"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w:t>
            </w:r>
            <w:r w:rsidRPr="00D52809">
              <w:rPr>
                <w:rFonts w:ascii="Times New Roman" w:hAnsi="Times New Roman" w:cs="Times New Roman"/>
                <w:sz w:val="24"/>
                <w:szCs w:val="24"/>
              </w:rPr>
              <w:t xml:space="preserve"> 2.</w:t>
            </w:r>
            <w:r w:rsidR="00850495">
              <w:rPr>
                <w:rFonts w:ascii="Times New Roman" w:hAnsi="Times New Roman" w:cs="Times New Roman"/>
                <w:sz w:val="24"/>
                <w:szCs w:val="24"/>
              </w:rPr>
              <w:t> apakšpunkts</w:t>
            </w:r>
            <w:r w:rsidRPr="00D52809">
              <w:rPr>
                <w:rFonts w:ascii="Times New Roman" w:hAnsi="Times New Roman" w:cs="Times New Roman"/>
                <w:sz w:val="24"/>
                <w:szCs w:val="24"/>
              </w:rPr>
              <w:t>, 86.</w:t>
            </w:r>
            <w:r w:rsidR="00850495">
              <w:rPr>
                <w:rFonts w:ascii="Times New Roman" w:hAnsi="Times New Roman" w:cs="Times New Roman"/>
                <w:sz w:val="24"/>
                <w:szCs w:val="24"/>
                <w:vertAlign w:val="superscript"/>
              </w:rPr>
              <w:t>5 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760B8161" w14:textId="2F00BEDA"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26F7042" w14:textId="1416A344"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619C1DAB"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226D2335"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lastRenderedPageBreak/>
              <w:t>Direktīvas 2019/1159</w:t>
            </w:r>
          </w:p>
          <w:p w14:paraId="29FAD806" w14:textId="4FEC76C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9.1.  punkts</w:t>
            </w:r>
          </w:p>
        </w:tc>
        <w:tc>
          <w:tcPr>
            <w:tcW w:w="1139" w:type="pct"/>
            <w:tcBorders>
              <w:top w:val="outset" w:sz="6" w:space="0" w:color="auto"/>
              <w:left w:val="outset" w:sz="6" w:space="0" w:color="auto"/>
              <w:bottom w:val="outset" w:sz="6" w:space="0" w:color="auto"/>
              <w:right w:val="outset" w:sz="6" w:space="0" w:color="auto"/>
            </w:tcBorders>
          </w:tcPr>
          <w:p w14:paraId="173E2703" w14:textId="5E54EDCC"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w:t>
            </w:r>
            <w:r w:rsidRPr="00D52809">
              <w:rPr>
                <w:rFonts w:ascii="Times New Roman" w:hAnsi="Times New Roman" w:cs="Times New Roman"/>
                <w:sz w:val="24"/>
                <w:szCs w:val="24"/>
              </w:rPr>
              <w:t xml:space="preserve"> 2.</w:t>
            </w:r>
            <w:r w:rsidR="00850495">
              <w:rPr>
                <w:rFonts w:ascii="Times New Roman" w:hAnsi="Times New Roman" w:cs="Times New Roman"/>
                <w:sz w:val="24"/>
                <w:szCs w:val="24"/>
              </w:rPr>
              <w:t> </w:t>
            </w:r>
            <w:r w:rsidRPr="00D52809">
              <w:rPr>
                <w:rFonts w:ascii="Times New Roman" w:hAnsi="Times New Roman" w:cs="Times New Roman"/>
                <w:sz w:val="24"/>
                <w:szCs w:val="24"/>
              </w:rPr>
              <w:t>apakšpunkts</w:t>
            </w:r>
          </w:p>
        </w:tc>
        <w:tc>
          <w:tcPr>
            <w:tcW w:w="1002" w:type="pct"/>
            <w:tcBorders>
              <w:top w:val="outset" w:sz="6" w:space="0" w:color="auto"/>
              <w:left w:val="outset" w:sz="6" w:space="0" w:color="auto"/>
              <w:bottom w:val="outset" w:sz="6" w:space="0" w:color="auto"/>
              <w:right w:val="outset" w:sz="6" w:space="0" w:color="auto"/>
            </w:tcBorders>
          </w:tcPr>
          <w:p w14:paraId="466B66D8" w14:textId="4AA66CEA"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2155549F" w14:textId="43821AF4"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098AC86A"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023D41FD"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0B274B1E" w14:textId="03194A0D"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9.2.  punkts</w:t>
            </w:r>
          </w:p>
        </w:tc>
        <w:tc>
          <w:tcPr>
            <w:tcW w:w="1139" w:type="pct"/>
            <w:tcBorders>
              <w:top w:val="outset" w:sz="6" w:space="0" w:color="auto"/>
              <w:left w:val="outset" w:sz="6" w:space="0" w:color="auto"/>
              <w:bottom w:val="outset" w:sz="6" w:space="0" w:color="auto"/>
              <w:right w:val="outset" w:sz="6" w:space="0" w:color="auto"/>
            </w:tcBorders>
          </w:tcPr>
          <w:p w14:paraId="7D79854D" w14:textId="04437BA6"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3</w:t>
            </w:r>
            <w:r w:rsidRPr="00D52809">
              <w:rPr>
                <w:rFonts w:ascii="Times New Roman" w:hAnsi="Times New Roman" w:cs="Times New Roman"/>
                <w:sz w:val="24"/>
                <w:szCs w:val="24"/>
              </w:rPr>
              <w:t xml:space="preserve"> 2.</w:t>
            </w:r>
            <w:r w:rsidR="00850495">
              <w:rPr>
                <w:rFonts w:ascii="Times New Roman" w:hAnsi="Times New Roman" w:cs="Times New Roman"/>
                <w:sz w:val="24"/>
                <w:szCs w:val="24"/>
              </w:rPr>
              <w:t> </w:t>
            </w:r>
            <w:r w:rsidRPr="00D52809">
              <w:rPr>
                <w:rFonts w:ascii="Times New Roman" w:hAnsi="Times New Roman" w:cs="Times New Roman"/>
                <w:sz w:val="24"/>
                <w:szCs w:val="24"/>
              </w:rPr>
              <w:t>apakšpunkts</w:t>
            </w:r>
          </w:p>
        </w:tc>
        <w:tc>
          <w:tcPr>
            <w:tcW w:w="1002" w:type="pct"/>
            <w:tcBorders>
              <w:top w:val="outset" w:sz="6" w:space="0" w:color="auto"/>
              <w:left w:val="outset" w:sz="6" w:space="0" w:color="auto"/>
              <w:bottom w:val="outset" w:sz="6" w:space="0" w:color="auto"/>
              <w:right w:val="outset" w:sz="6" w:space="0" w:color="auto"/>
            </w:tcBorders>
          </w:tcPr>
          <w:p w14:paraId="39FBDF26" w14:textId="6DAD1DEE"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EAC782B" w14:textId="7150E5C5"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3F285394"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27E42DA5"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B0B0B96" w14:textId="77B7E655"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9.3.  punkts</w:t>
            </w:r>
          </w:p>
        </w:tc>
        <w:tc>
          <w:tcPr>
            <w:tcW w:w="1139" w:type="pct"/>
            <w:tcBorders>
              <w:top w:val="outset" w:sz="6" w:space="0" w:color="auto"/>
              <w:left w:val="outset" w:sz="6" w:space="0" w:color="auto"/>
              <w:bottom w:val="outset" w:sz="6" w:space="0" w:color="auto"/>
              <w:right w:val="outset" w:sz="6" w:space="0" w:color="auto"/>
            </w:tcBorders>
          </w:tcPr>
          <w:p w14:paraId="11C83B6F" w14:textId="7C25BC0C"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5</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3. apakšpunkts</w:t>
            </w:r>
          </w:p>
        </w:tc>
        <w:tc>
          <w:tcPr>
            <w:tcW w:w="1002" w:type="pct"/>
            <w:tcBorders>
              <w:top w:val="outset" w:sz="6" w:space="0" w:color="auto"/>
              <w:left w:val="outset" w:sz="6" w:space="0" w:color="auto"/>
              <w:bottom w:val="outset" w:sz="6" w:space="0" w:color="auto"/>
              <w:right w:val="outset" w:sz="6" w:space="0" w:color="auto"/>
            </w:tcBorders>
          </w:tcPr>
          <w:p w14:paraId="499CBECE" w14:textId="256213E5"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D50C87E" w14:textId="478B9C52"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7EA423AA"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22D43A6D"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6DC2BBE4" w14:textId="42D23B98"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10.  punkts</w:t>
            </w:r>
          </w:p>
        </w:tc>
        <w:tc>
          <w:tcPr>
            <w:tcW w:w="1139" w:type="pct"/>
            <w:tcBorders>
              <w:top w:val="outset" w:sz="6" w:space="0" w:color="auto"/>
              <w:left w:val="outset" w:sz="6" w:space="0" w:color="auto"/>
              <w:bottom w:val="outset" w:sz="6" w:space="0" w:color="auto"/>
              <w:right w:val="outset" w:sz="6" w:space="0" w:color="auto"/>
            </w:tcBorders>
          </w:tcPr>
          <w:p w14:paraId="62AF00DA" w14:textId="3B150798"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6</w:t>
            </w:r>
            <w:r w:rsidRPr="00D52809">
              <w:rPr>
                <w:rFonts w:ascii="Times New Roman" w:hAnsi="Times New Roman" w:cs="Times New Roman"/>
                <w:sz w:val="24"/>
                <w:szCs w:val="24"/>
              </w:rPr>
              <w:t>, 86.</w:t>
            </w:r>
            <w:r w:rsidRPr="00D52809">
              <w:rPr>
                <w:rFonts w:ascii="Times New Roman" w:hAnsi="Times New Roman" w:cs="Times New Roman"/>
                <w:sz w:val="24"/>
                <w:szCs w:val="24"/>
                <w:vertAlign w:val="superscript"/>
              </w:rPr>
              <w:t>9</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6EC0A21B" w14:textId="625B512B"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6F17C9C3" w14:textId="3AD90505"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6438D50E"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07330C13"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2737736A" w14:textId="4C62F63D"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V/3 noteikumu 11.  punkts</w:t>
            </w:r>
          </w:p>
        </w:tc>
        <w:tc>
          <w:tcPr>
            <w:tcW w:w="1139" w:type="pct"/>
            <w:tcBorders>
              <w:top w:val="outset" w:sz="6" w:space="0" w:color="auto"/>
              <w:left w:val="outset" w:sz="6" w:space="0" w:color="auto"/>
              <w:bottom w:val="outset" w:sz="6" w:space="0" w:color="auto"/>
              <w:right w:val="outset" w:sz="6" w:space="0" w:color="auto"/>
            </w:tcBorders>
          </w:tcPr>
          <w:p w14:paraId="1553660E" w14:textId="0FC08302" w:rsidR="00A648DF" w:rsidRPr="00D52809" w:rsidRDefault="00A648DF"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7</w:t>
            </w:r>
            <w:r w:rsidRPr="00D52809">
              <w:rPr>
                <w:rFonts w:ascii="Times New Roman" w:hAnsi="Times New Roman" w:cs="Times New Roman"/>
                <w:sz w:val="24"/>
                <w:szCs w:val="24"/>
              </w:rPr>
              <w:t>, 86.</w:t>
            </w:r>
            <w:r w:rsidRPr="00D52809">
              <w:rPr>
                <w:rFonts w:ascii="Times New Roman" w:hAnsi="Times New Roman" w:cs="Times New Roman"/>
                <w:sz w:val="24"/>
                <w:szCs w:val="24"/>
                <w:vertAlign w:val="superscript"/>
              </w:rPr>
              <w:t>8</w:t>
            </w:r>
            <w:r w:rsidRPr="00D52809">
              <w:rPr>
                <w:rFonts w:ascii="Times New Roman" w:hAnsi="Times New Roman" w:cs="Times New Roman"/>
                <w:sz w:val="24"/>
                <w:szCs w:val="24"/>
              </w:rPr>
              <w:t> punkts</w:t>
            </w:r>
          </w:p>
        </w:tc>
        <w:tc>
          <w:tcPr>
            <w:tcW w:w="1002" w:type="pct"/>
            <w:tcBorders>
              <w:top w:val="outset" w:sz="6" w:space="0" w:color="auto"/>
              <w:left w:val="outset" w:sz="6" w:space="0" w:color="auto"/>
              <w:bottom w:val="outset" w:sz="6" w:space="0" w:color="auto"/>
              <w:right w:val="outset" w:sz="6" w:space="0" w:color="auto"/>
            </w:tcBorders>
          </w:tcPr>
          <w:p w14:paraId="3B7ED192" w14:textId="6445CEA3"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B3AA782" w14:textId="32A2699C"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40728E94"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1B972324"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65DA9CE" w14:textId="102BD21B"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1.  punkts</w:t>
            </w:r>
          </w:p>
        </w:tc>
        <w:tc>
          <w:tcPr>
            <w:tcW w:w="1139" w:type="pct"/>
            <w:tcBorders>
              <w:top w:val="outset" w:sz="6" w:space="0" w:color="auto"/>
              <w:left w:val="outset" w:sz="6" w:space="0" w:color="auto"/>
              <w:bottom w:val="outset" w:sz="6" w:space="0" w:color="auto"/>
              <w:right w:val="outset" w:sz="6" w:space="0" w:color="auto"/>
            </w:tcBorders>
          </w:tcPr>
          <w:p w14:paraId="2248028E" w14:textId="1357BBAF"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11</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3F96B656" w14:textId="65153242"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13DDD64A" w14:textId="1BBA4284"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77D6765D"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038A1AC1"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B13B193" w14:textId="6431002B"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2.  punkts</w:t>
            </w:r>
          </w:p>
        </w:tc>
        <w:tc>
          <w:tcPr>
            <w:tcW w:w="1139" w:type="pct"/>
            <w:tcBorders>
              <w:top w:val="outset" w:sz="6" w:space="0" w:color="auto"/>
              <w:left w:val="outset" w:sz="6" w:space="0" w:color="auto"/>
              <w:bottom w:val="outset" w:sz="6" w:space="0" w:color="auto"/>
              <w:right w:val="outset" w:sz="6" w:space="0" w:color="auto"/>
            </w:tcBorders>
          </w:tcPr>
          <w:p w14:paraId="5D9011FE" w14:textId="7B3D7E88"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 xml:space="preserve">10 </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unkts</w:t>
            </w:r>
          </w:p>
        </w:tc>
        <w:tc>
          <w:tcPr>
            <w:tcW w:w="1002" w:type="pct"/>
            <w:tcBorders>
              <w:top w:val="outset" w:sz="6" w:space="0" w:color="auto"/>
              <w:left w:val="outset" w:sz="6" w:space="0" w:color="auto"/>
              <w:bottom w:val="outset" w:sz="6" w:space="0" w:color="auto"/>
              <w:right w:val="outset" w:sz="6" w:space="0" w:color="auto"/>
            </w:tcBorders>
          </w:tcPr>
          <w:p w14:paraId="7B0F22F3" w14:textId="7935EF28"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EBCB0C7" w14:textId="5396884F"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798ECCE0"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7D815DA5"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71936F24" w14:textId="66F28889"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3.  punkts</w:t>
            </w:r>
          </w:p>
        </w:tc>
        <w:tc>
          <w:tcPr>
            <w:tcW w:w="1139" w:type="pct"/>
            <w:tcBorders>
              <w:top w:val="outset" w:sz="6" w:space="0" w:color="auto"/>
              <w:left w:val="outset" w:sz="6" w:space="0" w:color="auto"/>
              <w:bottom w:val="outset" w:sz="6" w:space="0" w:color="auto"/>
              <w:right w:val="outset" w:sz="6" w:space="0" w:color="auto"/>
            </w:tcBorders>
          </w:tcPr>
          <w:p w14:paraId="401BAF5D" w14:textId="50D35D64"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13</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01236339" w14:textId="2524C1ED"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45A22C6B" w14:textId="50F82E0B"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089EE555"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202D15FA"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2EB6B02D" w14:textId="7CB0CCB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4. punkts</w:t>
            </w:r>
          </w:p>
        </w:tc>
        <w:tc>
          <w:tcPr>
            <w:tcW w:w="1139" w:type="pct"/>
            <w:tcBorders>
              <w:top w:val="outset" w:sz="6" w:space="0" w:color="auto"/>
              <w:left w:val="outset" w:sz="6" w:space="0" w:color="auto"/>
              <w:bottom w:val="outset" w:sz="6" w:space="0" w:color="auto"/>
              <w:right w:val="outset" w:sz="6" w:space="0" w:color="auto"/>
            </w:tcBorders>
          </w:tcPr>
          <w:p w14:paraId="31918291" w14:textId="4FAE0CB0"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12</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364AD4CF" w14:textId="0E306643"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6FD2E4C2" w14:textId="5C0B32B0"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0D10FCA3"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4FD3B129" w14:textId="77777777"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7EDF41C9" w14:textId="1AD44291" w:rsidR="00A648DF" w:rsidRPr="00D52809" w:rsidRDefault="00A648DF"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4.1.  punkts</w:t>
            </w:r>
          </w:p>
        </w:tc>
        <w:tc>
          <w:tcPr>
            <w:tcW w:w="1139" w:type="pct"/>
            <w:tcBorders>
              <w:top w:val="outset" w:sz="6" w:space="0" w:color="auto"/>
              <w:left w:val="outset" w:sz="6" w:space="0" w:color="auto"/>
              <w:bottom w:val="outset" w:sz="6" w:space="0" w:color="auto"/>
              <w:right w:val="outset" w:sz="6" w:space="0" w:color="auto"/>
            </w:tcBorders>
          </w:tcPr>
          <w:p w14:paraId="55EBBCF8" w14:textId="3006E73B" w:rsidR="00A648DF" w:rsidRPr="00D52809" w:rsidRDefault="00A648DF"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12</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1. apakšpunkts</w:t>
            </w:r>
          </w:p>
        </w:tc>
        <w:tc>
          <w:tcPr>
            <w:tcW w:w="1002" w:type="pct"/>
            <w:tcBorders>
              <w:top w:val="outset" w:sz="6" w:space="0" w:color="auto"/>
              <w:left w:val="outset" w:sz="6" w:space="0" w:color="auto"/>
              <w:bottom w:val="outset" w:sz="6" w:space="0" w:color="auto"/>
              <w:right w:val="outset" w:sz="6" w:space="0" w:color="auto"/>
            </w:tcBorders>
          </w:tcPr>
          <w:p w14:paraId="4FBD6729" w14:textId="71CFBE8D"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302B6D68" w14:textId="34A469D9"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2EAD24C1"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1A72534F" w14:textId="77777777" w:rsidR="00D52809" w:rsidRPr="00D52809" w:rsidRDefault="00D52809"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1725140B" w14:textId="2EF2CCE6" w:rsidR="00A648DF" w:rsidRPr="00D52809" w:rsidRDefault="00D52809"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4.2.  punkts</w:t>
            </w:r>
          </w:p>
        </w:tc>
        <w:tc>
          <w:tcPr>
            <w:tcW w:w="1139" w:type="pct"/>
            <w:tcBorders>
              <w:top w:val="outset" w:sz="6" w:space="0" w:color="auto"/>
              <w:left w:val="outset" w:sz="6" w:space="0" w:color="auto"/>
              <w:bottom w:val="outset" w:sz="6" w:space="0" w:color="auto"/>
              <w:right w:val="outset" w:sz="6" w:space="0" w:color="auto"/>
            </w:tcBorders>
          </w:tcPr>
          <w:p w14:paraId="047EA292" w14:textId="43B8C481" w:rsidR="00A648DF" w:rsidRPr="00D52809" w:rsidRDefault="00D52809" w:rsidP="0040233E">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12</w:t>
            </w:r>
            <w:r w:rsidRPr="00D52809">
              <w:rPr>
                <w:rFonts w:ascii="Times New Roman" w:hAnsi="Times New Roman" w:cs="Times New Roman"/>
                <w:sz w:val="24"/>
                <w:szCs w:val="24"/>
              </w:rPr>
              <w:t> 2. apakšpunkts</w:t>
            </w:r>
          </w:p>
        </w:tc>
        <w:tc>
          <w:tcPr>
            <w:tcW w:w="1002" w:type="pct"/>
            <w:tcBorders>
              <w:top w:val="outset" w:sz="6" w:space="0" w:color="auto"/>
              <w:left w:val="outset" w:sz="6" w:space="0" w:color="auto"/>
              <w:bottom w:val="outset" w:sz="6" w:space="0" w:color="auto"/>
              <w:right w:val="outset" w:sz="6" w:space="0" w:color="auto"/>
            </w:tcBorders>
          </w:tcPr>
          <w:p w14:paraId="092F73D7" w14:textId="49CE197D"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7C7BA671" w14:textId="3CE64331"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6E899023"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60AD86A5" w14:textId="77777777" w:rsidR="00D52809" w:rsidRPr="00D52809" w:rsidRDefault="00D52809"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739DE32C" w14:textId="7C134AEB" w:rsidR="00A648DF" w:rsidRPr="00D52809" w:rsidRDefault="00D52809"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4.3.  punkts</w:t>
            </w:r>
          </w:p>
        </w:tc>
        <w:tc>
          <w:tcPr>
            <w:tcW w:w="1139" w:type="pct"/>
            <w:tcBorders>
              <w:top w:val="outset" w:sz="6" w:space="0" w:color="auto"/>
              <w:left w:val="outset" w:sz="6" w:space="0" w:color="auto"/>
              <w:bottom w:val="outset" w:sz="6" w:space="0" w:color="auto"/>
              <w:right w:val="outset" w:sz="6" w:space="0" w:color="auto"/>
            </w:tcBorders>
          </w:tcPr>
          <w:p w14:paraId="0B20F710" w14:textId="60BB5DDE" w:rsidR="00A648DF" w:rsidRPr="00D52809" w:rsidRDefault="00D52809"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12</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3. apakšpunkts</w:t>
            </w:r>
          </w:p>
        </w:tc>
        <w:tc>
          <w:tcPr>
            <w:tcW w:w="1002" w:type="pct"/>
            <w:tcBorders>
              <w:top w:val="outset" w:sz="6" w:space="0" w:color="auto"/>
              <w:left w:val="outset" w:sz="6" w:space="0" w:color="auto"/>
              <w:bottom w:val="outset" w:sz="6" w:space="0" w:color="auto"/>
              <w:right w:val="outset" w:sz="6" w:space="0" w:color="auto"/>
            </w:tcBorders>
          </w:tcPr>
          <w:p w14:paraId="0AB2DFD5" w14:textId="05FFC0F3"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0B4198A4" w14:textId="68AC7C80"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A648DF" w:rsidRPr="002F56C7" w14:paraId="69F775FD"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tcPr>
          <w:p w14:paraId="68BAAFDD" w14:textId="77777777" w:rsidR="00D52809" w:rsidRPr="00D52809" w:rsidRDefault="00D52809"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Direktīvas 2019/1159</w:t>
            </w:r>
          </w:p>
          <w:p w14:paraId="775220FA" w14:textId="5CF994CA" w:rsidR="00A648DF" w:rsidRPr="00D52809" w:rsidRDefault="00D52809" w:rsidP="00520D76">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1. pielikuma V/4 noteikumu 4.5.  punkts</w:t>
            </w:r>
          </w:p>
        </w:tc>
        <w:tc>
          <w:tcPr>
            <w:tcW w:w="1139" w:type="pct"/>
            <w:tcBorders>
              <w:top w:val="outset" w:sz="6" w:space="0" w:color="auto"/>
              <w:left w:val="outset" w:sz="6" w:space="0" w:color="auto"/>
              <w:bottom w:val="outset" w:sz="6" w:space="0" w:color="auto"/>
              <w:right w:val="outset" w:sz="6" w:space="0" w:color="auto"/>
            </w:tcBorders>
          </w:tcPr>
          <w:p w14:paraId="24C81BF8" w14:textId="7DD72F8B" w:rsidR="00A648DF" w:rsidRPr="00D52809" w:rsidRDefault="00D52809" w:rsidP="00850495">
            <w:pPr>
              <w:spacing w:after="0" w:line="240" w:lineRule="auto"/>
              <w:jc w:val="both"/>
              <w:rPr>
                <w:rFonts w:ascii="Times New Roman" w:hAnsi="Times New Roman" w:cs="Times New Roman"/>
                <w:sz w:val="24"/>
                <w:szCs w:val="24"/>
              </w:rPr>
            </w:pPr>
            <w:r w:rsidRPr="00D52809">
              <w:rPr>
                <w:rFonts w:ascii="Times New Roman" w:hAnsi="Times New Roman" w:cs="Times New Roman"/>
                <w:sz w:val="24"/>
                <w:szCs w:val="24"/>
              </w:rPr>
              <w:t>Sertificēšanas noteikumu 86.</w:t>
            </w:r>
            <w:r w:rsidRPr="00D52809">
              <w:rPr>
                <w:rFonts w:ascii="Times New Roman" w:hAnsi="Times New Roman" w:cs="Times New Roman"/>
                <w:sz w:val="24"/>
                <w:szCs w:val="24"/>
                <w:vertAlign w:val="superscript"/>
              </w:rPr>
              <w:t>15</w:t>
            </w:r>
            <w:r w:rsidR="00850495">
              <w:rPr>
                <w:rFonts w:ascii="Times New Roman" w:hAnsi="Times New Roman" w:cs="Times New Roman"/>
                <w:sz w:val="24"/>
                <w:szCs w:val="24"/>
                <w:vertAlign w:val="superscript"/>
              </w:rPr>
              <w:t> </w:t>
            </w:r>
            <w:r w:rsidRPr="00D52809">
              <w:rPr>
                <w:rFonts w:ascii="Times New Roman" w:hAnsi="Times New Roman" w:cs="Times New Roman"/>
                <w:sz w:val="24"/>
                <w:szCs w:val="24"/>
              </w:rPr>
              <w:t>punkts</w:t>
            </w:r>
          </w:p>
        </w:tc>
        <w:tc>
          <w:tcPr>
            <w:tcW w:w="1002" w:type="pct"/>
            <w:tcBorders>
              <w:top w:val="outset" w:sz="6" w:space="0" w:color="auto"/>
              <w:left w:val="outset" w:sz="6" w:space="0" w:color="auto"/>
              <w:bottom w:val="outset" w:sz="6" w:space="0" w:color="auto"/>
              <w:right w:val="outset" w:sz="6" w:space="0" w:color="auto"/>
            </w:tcBorders>
          </w:tcPr>
          <w:p w14:paraId="2BE5CA64" w14:textId="3F99D4FD"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Pārņemta pilnībā</w:t>
            </w:r>
          </w:p>
        </w:tc>
        <w:tc>
          <w:tcPr>
            <w:tcW w:w="1471" w:type="pct"/>
            <w:tcBorders>
              <w:top w:val="outset" w:sz="6" w:space="0" w:color="auto"/>
              <w:left w:val="outset" w:sz="6" w:space="0" w:color="auto"/>
              <w:bottom w:val="outset" w:sz="6" w:space="0" w:color="auto"/>
              <w:right w:val="outset" w:sz="6" w:space="0" w:color="auto"/>
            </w:tcBorders>
          </w:tcPr>
          <w:p w14:paraId="29923B3E" w14:textId="3C312234" w:rsidR="00A648DF" w:rsidRPr="00D52809" w:rsidRDefault="00D52809" w:rsidP="0040233E">
            <w:pPr>
              <w:spacing w:after="0" w:line="240" w:lineRule="auto"/>
              <w:jc w:val="both"/>
              <w:rPr>
                <w:rFonts w:ascii="Times New Roman" w:eastAsia="Times New Roman" w:hAnsi="Times New Roman" w:cs="Times New Roman"/>
                <w:iCs/>
                <w:sz w:val="24"/>
                <w:szCs w:val="24"/>
                <w:lang w:eastAsia="lv-LV"/>
              </w:rPr>
            </w:pPr>
            <w:r w:rsidRPr="00D52809">
              <w:rPr>
                <w:rFonts w:ascii="Times New Roman" w:eastAsia="Times New Roman" w:hAnsi="Times New Roman" w:cs="Times New Roman"/>
                <w:iCs/>
                <w:sz w:val="24"/>
                <w:szCs w:val="24"/>
                <w:lang w:eastAsia="lv-LV"/>
              </w:rPr>
              <w:t>Neparedz stingrākas prasības</w:t>
            </w:r>
          </w:p>
        </w:tc>
      </w:tr>
      <w:tr w:rsidR="002F56C7" w:rsidRPr="002F56C7" w14:paraId="78AC7E31"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hideMark/>
          </w:tcPr>
          <w:p w14:paraId="385CBC4A" w14:textId="235EC658" w:rsidR="002F56C7" w:rsidRPr="002F56C7" w:rsidRDefault="002F56C7" w:rsidP="002F56C7">
            <w:pPr>
              <w:spacing w:after="0" w:line="240" w:lineRule="auto"/>
              <w:rPr>
                <w:rFonts w:ascii="Times New Roman" w:eastAsia="Times New Roman" w:hAnsi="Times New Roman" w:cs="Times New Roman"/>
                <w:iCs/>
                <w:sz w:val="24"/>
                <w:szCs w:val="24"/>
                <w:lang w:val="en-US" w:eastAsia="lv-LV"/>
              </w:rPr>
            </w:pPr>
            <w:r w:rsidRPr="002F56C7">
              <w:rPr>
                <w:rFonts w:ascii="Times New Roman" w:eastAsia="Times New Roman" w:hAnsi="Times New Roman" w:cs="Times New Roman"/>
                <w:iCs/>
                <w:sz w:val="24"/>
                <w:szCs w:val="24"/>
                <w:lang w:eastAsia="lv-LV"/>
              </w:rPr>
              <w:t xml:space="preserve">Kā ir izmantota ES tiesību aktā paredzētā rīcības brīvība dalībvalstij pārņemt vai ieviest noteiktas ES </w:t>
            </w:r>
            <w:r w:rsidRPr="002F56C7">
              <w:rPr>
                <w:rFonts w:ascii="Times New Roman" w:eastAsia="Times New Roman" w:hAnsi="Times New Roman" w:cs="Times New Roman"/>
                <w:iCs/>
                <w:sz w:val="24"/>
                <w:szCs w:val="24"/>
                <w:lang w:eastAsia="lv-LV"/>
              </w:rPr>
              <w:lastRenderedPageBreak/>
              <w:t xml:space="preserve">tiesību akta normas? </w:t>
            </w:r>
            <w:r w:rsidR="00520D76">
              <w:rPr>
                <w:rFonts w:ascii="Times New Roman" w:eastAsia="Times New Roman" w:hAnsi="Times New Roman" w:cs="Times New Roman"/>
                <w:iCs/>
                <w:sz w:val="24"/>
                <w:szCs w:val="24"/>
                <w:lang w:val="en-US" w:eastAsia="lv-LV"/>
              </w:rPr>
              <w:t>Kādēļ</w:t>
            </w:r>
            <w:r w:rsidRPr="002F56C7">
              <w:rPr>
                <w:rFonts w:ascii="Times New Roman" w:eastAsia="Times New Roman" w:hAnsi="Times New Roman" w:cs="Times New Roman"/>
                <w:iCs/>
                <w:sz w:val="24"/>
                <w:szCs w:val="24"/>
                <w:lang w:val="en-US" w:eastAsia="lv-LV"/>
              </w:rPr>
              <w:t>?</w:t>
            </w:r>
          </w:p>
        </w:tc>
        <w:tc>
          <w:tcPr>
            <w:tcW w:w="3644" w:type="pct"/>
            <w:gridSpan w:val="3"/>
            <w:tcBorders>
              <w:top w:val="outset" w:sz="6" w:space="0" w:color="auto"/>
              <w:left w:val="outset" w:sz="6" w:space="0" w:color="auto"/>
              <w:bottom w:val="outset" w:sz="6" w:space="0" w:color="auto"/>
              <w:right w:val="outset" w:sz="6" w:space="0" w:color="auto"/>
            </w:tcBorders>
            <w:hideMark/>
          </w:tcPr>
          <w:p w14:paraId="58B025F1" w14:textId="55E6AF3F" w:rsidR="002F56C7" w:rsidRPr="004B668B" w:rsidRDefault="00F877D2" w:rsidP="002F56C7">
            <w:pPr>
              <w:spacing w:after="0" w:line="240" w:lineRule="auto"/>
              <w:rPr>
                <w:rFonts w:ascii="Times New Roman" w:eastAsia="Times New Roman" w:hAnsi="Times New Roman" w:cs="Times New Roman"/>
                <w:iCs/>
                <w:sz w:val="24"/>
                <w:szCs w:val="24"/>
                <w:lang w:val="en-US" w:eastAsia="lv-LV"/>
              </w:rPr>
            </w:pPr>
            <w:r w:rsidRPr="004B668B">
              <w:rPr>
                <w:rFonts w:ascii="Times New Roman" w:eastAsia="Times New Roman" w:hAnsi="Times New Roman" w:cs="Times New Roman"/>
                <w:iCs/>
                <w:sz w:val="24"/>
                <w:szCs w:val="24"/>
                <w:lang w:eastAsia="lv-LV"/>
              </w:rPr>
              <w:lastRenderedPageBreak/>
              <w:t>Projekts šo jomu neskar.</w:t>
            </w:r>
          </w:p>
        </w:tc>
      </w:tr>
      <w:tr w:rsidR="002F56C7" w:rsidRPr="002F56C7" w14:paraId="5D47706D"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hideMark/>
          </w:tcPr>
          <w:p w14:paraId="0C72105F" w14:textId="77777777" w:rsidR="002F56C7" w:rsidRPr="002F56C7" w:rsidRDefault="002F56C7" w:rsidP="002F56C7">
            <w:pPr>
              <w:spacing w:after="0" w:line="240" w:lineRule="auto"/>
              <w:rPr>
                <w:rFonts w:ascii="Times New Roman" w:eastAsia="Times New Roman" w:hAnsi="Times New Roman" w:cs="Times New Roman"/>
                <w:iCs/>
                <w:sz w:val="24"/>
                <w:szCs w:val="24"/>
                <w:lang w:eastAsia="lv-LV"/>
              </w:rPr>
            </w:pPr>
            <w:r w:rsidRPr="002F56C7">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44" w:type="pct"/>
            <w:gridSpan w:val="3"/>
            <w:tcBorders>
              <w:top w:val="outset" w:sz="6" w:space="0" w:color="auto"/>
              <w:left w:val="outset" w:sz="6" w:space="0" w:color="auto"/>
              <w:bottom w:val="outset" w:sz="6" w:space="0" w:color="auto"/>
              <w:right w:val="outset" w:sz="6" w:space="0" w:color="auto"/>
            </w:tcBorders>
            <w:hideMark/>
          </w:tcPr>
          <w:p w14:paraId="0EEAB5A7" w14:textId="4C747F33" w:rsidR="002F56C7" w:rsidRPr="004B668B" w:rsidRDefault="00F877D2" w:rsidP="002F56C7">
            <w:pPr>
              <w:spacing w:after="0" w:line="240" w:lineRule="auto"/>
              <w:rPr>
                <w:rFonts w:ascii="Times New Roman" w:eastAsia="Times New Roman" w:hAnsi="Times New Roman" w:cs="Times New Roman"/>
                <w:iCs/>
                <w:sz w:val="24"/>
                <w:szCs w:val="24"/>
                <w:lang w:eastAsia="lv-LV"/>
              </w:rPr>
            </w:pPr>
            <w:r w:rsidRPr="004B668B">
              <w:rPr>
                <w:rFonts w:ascii="Times New Roman" w:eastAsia="Times New Roman" w:hAnsi="Times New Roman" w:cs="Times New Roman"/>
                <w:iCs/>
                <w:sz w:val="24"/>
                <w:szCs w:val="24"/>
                <w:lang w:eastAsia="lv-LV"/>
              </w:rPr>
              <w:t>Projekts šo jomu neskar.</w:t>
            </w:r>
          </w:p>
        </w:tc>
      </w:tr>
      <w:tr w:rsidR="002F56C7" w:rsidRPr="002F56C7" w14:paraId="64A5BE53" w14:textId="77777777" w:rsidTr="007918CA">
        <w:trPr>
          <w:tblCellSpacing w:w="15" w:type="dxa"/>
        </w:trPr>
        <w:tc>
          <w:tcPr>
            <w:tcW w:w="1307" w:type="pct"/>
            <w:tcBorders>
              <w:top w:val="outset" w:sz="6" w:space="0" w:color="auto"/>
              <w:left w:val="outset" w:sz="6" w:space="0" w:color="auto"/>
              <w:bottom w:val="outset" w:sz="6" w:space="0" w:color="auto"/>
              <w:right w:val="outset" w:sz="6" w:space="0" w:color="auto"/>
            </w:tcBorders>
            <w:hideMark/>
          </w:tcPr>
          <w:p w14:paraId="18B0FE9C" w14:textId="77777777" w:rsidR="002F56C7" w:rsidRPr="002F56C7" w:rsidRDefault="002F56C7" w:rsidP="002F56C7">
            <w:pPr>
              <w:spacing w:after="0" w:line="240" w:lineRule="auto"/>
              <w:rPr>
                <w:rFonts w:ascii="Times New Roman" w:eastAsia="Times New Roman" w:hAnsi="Times New Roman" w:cs="Times New Roman"/>
                <w:iCs/>
                <w:sz w:val="24"/>
                <w:szCs w:val="24"/>
                <w:lang w:val="en-US" w:eastAsia="lv-LV"/>
              </w:rPr>
            </w:pPr>
            <w:r w:rsidRPr="002F56C7">
              <w:rPr>
                <w:rFonts w:ascii="Times New Roman" w:eastAsia="Times New Roman" w:hAnsi="Times New Roman" w:cs="Times New Roman"/>
                <w:iCs/>
                <w:sz w:val="24"/>
                <w:szCs w:val="24"/>
                <w:lang w:val="en-US" w:eastAsia="lv-LV"/>
              </w:rPr>
              <w:t>Cita informācija</w:t>
            </w:r>
          </w:p>
        </w:tc>
        <w:tc>
          <w:tcPr>
            <w:tcW w:w="3644" w:type="pct"/>
            <w:gridSpan w:val="3"/>
            <w:tcBorders>
              <w:top w:val="outset" w:sz="6" w:space="0" w:color="auto"/>
              <w:left w:val="outset" w:sz="6" w:space="0" w:color="auto"/>
              <w:bottom w:val="outset" w:sz="6" w:space="0" w:color="auto"/>
              <w:right w:val="outset" w:sz="6" w:space="0" w:color="auto"/>
            </w:tcBorders>
            <w:hideMark/>
          </w:tcPr>
          <w:p w14:paraId="5924678F" w14:textId="578FF620" w:rsidR="002F56C7" w:rsidRPr="004B668B" w:rsidRDefault="00F877D2" w:rsidP="002F56C7">
            <w:pPr>
              <w:spacing w:after="0" w:line="240" w:lineRule="auto"/>
              <w:rPr>
                <w:rFonts w:ascii="Times New Roman" w:eastAsia="Times New Roman" w:hAnsi="Times New Roman" w:cs="Times New Roman"/>
                <w:iCs/>
                <w:sz w:val="24"/>
                <w:szCs w:val="24"/>
                <w:lang w:val="en-US" w:eastAsia="lv-LV"/>
              </w:rPr>
            </w:pPr>
            <w:r w:rsidRPr="004B668B">
              <w:rPr>
                <w:rFonts w:ascii="Times New Roman" w:eastAsia="Times New Roman" w:hAnsi="Times New Roman" w:cs="Times New Roman"/>
                <w:iCs/>
                <w:sz w:val="24"/>
                <w:szCs w:val="24"/>
                <w:lang w:val="en-US" w:eastAsia="lv-LV"/>
              </w:rPr>
              <w:t>Nav.</w:t>
            </w:r>
          </w:p>
        </w:tc>
      </w:tr>
      <w:tr w:rsidR="00F05270" w:rsidRPr="00E6249A" w14:paraId="123AF17B" w14:textId="77777777" w:rsidTr="00F877D2">
        <w:trPr>
          <w:tblCellSpacing w:w="15" w:type="dxa"/>
        </w:trPr>
        <w:tc>
          <w:tcPr>
            <w:tcW w:w="4967" w:type="pct"/>
            <w:gridSpan w:val="4"/>
            <w:tcBorders>
              <w:top w:val="outset" w:sz="6" w:space="0" w:color="auto"/>
              <w:left w:val="outset" w:sz="6" w:space="0" w:color="auto"/>
              <w:bottom w:val="outset" w:sz="6" w:space="0" w:color="auto"/>
              <w:right w:val="outset" w:sz="6" w:space="0" w:color="auto"/>
            </w:tcBorders>
            <w:vAlign w:val="center"/>
            <w:hideMark/>
          </w:tcPr>
          <w:p w14:paraId="52A6D5D2" w14:textId="6565C4F6" w:rsidR="00642D9F" w:rsidRPr="00E6249A" w:rsidRDefault="00642D9F"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2. tabula</w:t>
            </w:r>
          </w:p>
          <w:p w14:paraId="770EEA2F" w14:textId="275A6A25" w:rsidR="00655F2C" w:rsidRPr="00E6249A" w:rsidRDefault="006D59B7"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Ar tiesību akta projektu izpildītās vai uzņemtās saistības, kas izriet no starptautiskajiem tiesību aktiem vai starptautiskas institūcijas vai organizācijas dokumentiem.</w:t>
            </w:r>
            <w:r w:rsidRPr="00E6249A">
              <w:rPr>
                <w:rFonts w:ascii="Times New Roman" w:eastAsia="Times New Roman" w:hAnsi="Times New Roman" w:cs="Times New Roman"/>
                <w:b/>
                <w:bCs/>
                <w:iCs/>
                <w:sz w:val="24"/>
                <w:szCs w:val="24"/>
                <w:lang w:eastAsia="lv-LV"/>
              </w:rPr>
              <w:br/>
              <w:t>Pasākumi šo saistību izpildei</w:t>
            </w:r>
          </w:p>
        </w:tc>
      </w:tr>
      <w:tr w:rsidR="00EA04C4" w:rsidRPr="00E6249A" w14:paraId="51A0BAE9" w14:textId="77777777" w:rsidTr="00EA04C4">
        <w:trPr>
          <w:trHeight w:val="417"/>
          <w:tblCellSpacing w:w="15" w:type="dxa"/>
        </w:trPr>
        <w:tc>
          <w:tcPr>
            <w:tcW w:w="4967" w:type="pct"/>
            <w:gridSpan w:val="4"/>
            <w:tcBorders>
              <w:top w:val="outset" w:sz="6" w:space="0" w:color="auto"/>
              <w:left w:val="outset" w:sz="6" w:space="0" w:color="auto"/>
              <w:right w:val="outset" w:sz="6" w:space="0" w:color="auto"/>
            </w:tcBorders>
          </w:tcPr>
          <w:p w14:paraId="39ECEF2F" w14:textId="62E9A5C0" w:rsidR="00EA04C4" w:rsidRPr="00E6249A" w:rsidRDefault="00EA04C4" w:rsidP="00EA04C4">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224CA775" w14:textId="77C6BCD0"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 xml:space="preserve">  </w:t>
      </w:r>
    </w:p>
    <w:tbl>
      <w:tblPr>
        <w:tblW w:w="508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6"/>
        <w:gridCol w:w="2930"/>
        <w:gridCol w:w="5863"/>
      </w:tblGrid>
      <w:tr w:rsidR="00F05270" w:rsidRPr="00E6249A" w14:paraId="1543C4FD" w14:textId="77777777" w:rsidTr="00E9621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1C10759" w14:textId="77777777" w:rsidR="00655F2C" w:rsidRPr="00E6249A" w:rsidRDefault="00E5323B"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VI. Sabiedrības līdzdalība un komunikācijas aktivitātes</w:t>
            </w:r>
          </w:p>
        </w:tc>
      </w:tr>
      <w:tr w:rsidR="00F05270" w:rsidRPr="00E6249A" w14:paraId="4355A770" w14:textId="77777777" w:rsidTr="00E9621C">
        <w:trPr>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63E8E7DD"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1.</w:t>
            </w:r>
          </w:p>
        </w:tc>
        <w:tc>
          <w:tcPr>
            <w:tcW w:w="1561" w:type="pct"/>
            <w:tcBorders>
              <w:top w:val="outset" w:sz="6" w:space="0" w:color="auto"/>
              <w:left w:val="outset" w:sz="6" w:space="0" w:color="auto"/>
              <w:bottom w:val="outset" w:sz="6" w:space="0" w:color="auto"/>
              <w:right w:val="outset" w:sz="6" w:space="0" w:color="auto"/>
            </w:tcBorders>
            <w:hideMark/>
          </w:tcPr>
          <w:p w14:paraId="7913EDD6"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99" w:type="pct"/>
            <w:tcBorders>
              <w:top w:val="outset" w:sz="6" w:space="0" w:color="auto"/>
              <w:left w:val="outset" w:sz="6" w:space="0" w:color="auto"/>
              <w:bottom w:val="outset" w:sz="6" w:space="0" w:color="auto"/>
              <w:right w:val="outset" w:sz="6" w:space="0" w:color="auto"/>
            </w:tcBorders>
            <w:hideMark/>
          </w:tcPr>
          <w:p w14:paraId="0C9821CF" w14:textId="60676057" w:rsidR="00E5323B" w:rsidRPr="00E6249A" w:rsidRDefault="00C05E7C" w:rsidP="00151526">
            <w:pPr>
              <w:spacing w:after="0" w:line="240" w:lineRule="auto"/>
              <w:jc w:val="both"/>
              <w:rPr>
                <w:rFonts w:ascii="Times New Roman" w:eastAsia="Times New Roman" w:hAnsi="Times New Roman" w:cs="Times New Roman"/>
                <w:iCs/>
                <w:sz w:val="24"/>
                <w:szCs w:val="24"/>
                <w:lang w:eastAsia="lv-LV"/>
              </w:rPr>
            </w:pPr>
            <w:r w:rsidRPr="00C05E7C">
              <w:rPr>
                <w:rFonts w:ascii="Times New Roman" w:eastAsia="Times New Roman" w:hAnsi="Times New Roman" w:cs="Times New Roman"/>
                <w:iCs/>
                <w:sz w:val="24"/>
                <w:szCs w:val="24"/>
                <w:lang w:eastAsia="lv-LV"/>
              </w:rPr>
              <w:t>Atbilstoši Ministru kabineta 2009. gada 25. augusta noteikumiem Nr. 970 „Sabiedrības līdzdalības kārtība attīstības plānošanas procesā” par projekta izstrādi tika informēti sabiedrības pārstāvji, ievietojot Paziņojumu par līdzdalības iespējām tiesību akta izstrādes procesā Satiksmes ministrijas tīmekļa vietnē 2021. gada janvārī.</w:t>
            </w:r>
          </w:p>
        </w:tc>
      </w:tr>
      <w:tr w:rsidR="00F05270" w:rsidRPr="00E6249A" w14:paraId="6E2663D3" w14:textId="77777777" w:rsidTr="00E9621C">
        <w:trPr>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48055817"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2.</w:t>
            </w:r>
          </w:p>
        </w:tc>
        <w:tc>
          <w:tcPr>
            <w:tcW w:w="1561" w:type="pct"/>
            <w:tcBorders>
              <w:top w:val="outset" w:sz="6" w:space="0" w:color="auto"/>
              <w:left w:val="outset" w:sz="6" w:space="0" w:color="auto"/>
              <w:bottom w:val="outset" w:sz="6" w:space="0" w:color="auto"/>
              <w:right w:val="outset" w:sz="6" w:space="0" w:color="auto"/>
            </w:tcBorders>
            <w:hideMark/>
          </w:tcPr>
          <w:p w14:paraId="1011537C"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Sabiedrības līdzdalība projekta izstrādē</w:t>
            </w:r>
          </w:p>
        </w:tc>
        <w:tc>
          <w:tcPr>
            <w:tcW w:w="3099" w:type="pct"/>
            <w:tcBorders>
              <w:top w:val="outset" w:sz="6" w:space="0" w:color="auto"/>
              <w:left w:val="outset" w:sz="6" w:space="0" w:color="auto"/>
              <w:bottom w:val="outset" w:sz="6" w:space="0" w:color="auto"/>
              <w:right w:val="outset" w:sz="6" w:space="0" w:color="auto"/>
            </w:tcBorders>
            <w:hideMark/>
          </w:tcPr>
          <w:p w14:paraId="03BC6975" w14:textId="17AF6ADD" w:rsidR="00E5323B" w:rsidRPr="00E6249A" w:rsidRDefault="00C05E7C" w:rsidP="00F7565A">
            <w:pPr>
              <w:spacing w:after="0" w:line="240" w:lineRule="auto"/>
              <w:jc w:val="both"/>
              <w:rPr>
                <w:rFonts w:ascii="Times New Roman" w:eastAsia="Times New Roman" w:hAnsi="Times New Roman" w:cs="Times New Roman"/>
                <w:sz w:val="24"/>
                <w:szCs w:val="24"/>
                <w:lang w:eastAsia="lv-LV"/>
              </w:rPr>
            </w:pPr>
            <w:r w:rsidRPr="00C05E7C">
              <w:rPr>
                <w:rFonts w:ascii="Times New Roman" w:eastAsia="Times New Roman" w:hAnsi="Times New Roman" w:cs="Times New Roman"/>
                <w:sz w:val="24"/>
                <w:szCs w:val="24"/>
                <w:lang w:eastAsia="lv-LV"/>
              </w:rPr>
              <w:t>Atbilstoši Ministru kabineta 2009. gada 25. augusta noteikumu Nr. 970 „Sabiedrības līdzdalības kārtība attīstības plānošanas procesā” 7.4.</w:t>
            </w:r>
            <w:r w:rsidRPr="00C05E7C">
              <w:rPr>
                <w:rFonts w:ascii="Times New Roman" w:eastAsia="Times New Roman" w:hAnsi="Times New Roman" w:cs="Times New Roman"/>
                <w:sz w:val="24"/>
                <w:szCs w:val="24"/>
                <w:vertAlign w:val="superscript"/>
                <w:lang w:eastAsia="lv-LV"/>
              </w:rPr>
              <w:t>1</w:t>
            </w:r>
            <w:r w:rsidRPr="00C05E7C">
              <w:rPr>
                <w:rFonts w:ascii="Times New Roman" w:eastAsia="Times New Roman" w:hAnsi="Times New Roman" w:cs="Times New Roman"/>
                <w:sz w:val="24"/>
                <w:szCs w:val="24"/>
                <w:lang w:eastAsia="lv-LV"/>
              </w:rPr>
              <w:t xml:space="preserve"> apakšpunktam, sabiedrībai tika dota iespēja rakstiski sniegt viedokli par noteikumu projektu tā izstrādes stadijā.</w:t>
            </w:r>
          </w:p>
        </w:tc>
      </w:tr>
      <w:tr w:rsidR="00F05270" w:rsidRPr="00E6249A" w14:paraId="1F6E70A4" w14:textId="77777777" w:rsidTr="00E9621C">
        <w:trPr>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51D089F1" w14:textId="182A8BCE"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3.</w:t>
            </w:r>
          </w:p>
        </w:tc>
        <w:tc>
          <w:tcPr>
            <w:tcW w:w="1561" w:type="pct"/>
            <w:tcBorders>
              <w:top w:val="outset" w:sz="6" w:space="0" w:color="auto"/>
              <w:left w:val="outset" w:sz="6" w:space="0" w:color="auto"/>
              <w:bottom w:val="outset" w:sz="6" w:space="0" w:color="auto"/>
              <w:right w:val="outset" w:sz="6" w:space="0" w:color="auto"/>
            </w:tcBorders>
            <w:hideMark/>
          </w:tcPr>
          <w:p w14:paraId="4848B8CB"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Sabiedrības līdzdalības rezultāti</w:t>
            </w:r>
          </w:p>
        </w:tc>
        <w:tc>
          <w:tcPr>
            <w:tcW w:w="3099" w:type="pct"/>
            <w:tcBorders>
              <w:top w:val="outset" w:sz="6" w:space="0" w:color="auto"/>
              <w:left w:val="outset" w:sz="6" w:space="0" w:color="auto"/>
              <w:bottom w:val="outset" w:sz="6" w:space="0" w:color="auto"/>
              <w:right w:val="outset" w:sz="6" w:space="0" w:color="auto"/>
            </w:tcBorders>
            <w:hideMark/>
          </w:tcPr>
          <w:p w14:paraId="28E62036" w14:textId="679E5A96" w:rsidR="00940037" w:rsidRPr="00E6249A" w:rsidRDefault="00C05E7C" w:rsidP="00A7003A">
            <w:pPr>
              <w:spacing w:after="0" w:line="240" w:lineRule="auto"/>
              <w:jc w:val="both"/>
              <w:rPr>
                <w:rFonts w:ascii="Times New Roman" w:eastAsia="Times New Roman" w:hAnsi="Times New Roman" w:cs="Times New Roman"/>
                <w:i/>
                <w:iCs/>
                <w:sz w:val="24"/>
                <w:szCs w:val="24"/>
                <w:lang w:eastAsia="lv-LV"/>
              </w:rPr>
            </w:pPr>
            <w:r w:rsidRPr="00C05E7C">
              <w:rPr>
                <w:rFonts w:ascii="Times New Roman" w:eastAsia="Times New Roman" w:hAnsi="Times New Roman" w:cs="Times New Roman"/>
                <w:sz w:val="24"/>
                <w:szCs w:val="24"/>
                <w:highlight w:val="yellow"/>
                <w:lang w:eastAsia="lv-LV"/>
              </w:rPr>
              <w:t>Tiks papildināts.</w:t>
            </w:r>
          </w:p>
        </w:tc>
      </w:tr>
      <w:tr w:rsidR="00E5323B" w:rsidRPr="00E6249A" w14:paraId="50118678" w14:textId="77777777" w:rsidTr="00E9621C">
        <w:trPr>
          <w:tblCellSpacing w:w="15" w:type="dxa"/>
        </w:trPr>
        <w:tc>
          <w:tcPr>
            <w:tcW w:w="275" w:type="pct"/>
            <w:tcBorders>
              <w:top w:val="outset" w:sz="6" w:space="0" w:color="auto"/>
              <w:left w:val="outset" w:sz="6" w:space="0" w:color="auto"/>
              <w:bottom w:val="outset" w:sz="6" w:space="0" w:color="auto"/>
              <w:right w:val="outset" w:sz="6" w:space="0" w:color="auto"/>
            </w:tcBorders>
            <w:hideMark/>
          </w:tcPr>
          <w:p w14:paraId="6AE3FFD1"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4.</w:t>
            </w:r>
          </w:p>
        </w:tc>
        <w:tc>
          <w:tcPr>
            <w:tcW w:w="1561" w:type="pct"/>
            <w:tcBorders>
              <w:top w:val="outset" w:sz="6" w:space="0" w:color="auto"/>
              <w:left w:val="outset" w:sz="6" w:space="0" w:color="auto"/>
              <w:bottom w:val="outset" w:sz="6" w:space="0" w:color="auto"/>
              <w:right w:val="outset" w:sz="6" w:space="0" w:color="auto"/>
            </w:tcBorders>
            <w:hideMark/>
          </w:tcPr>
          <w:p w14:paraId="47D9F6A0"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Cita informācija</w:t>
            </w:r>
          </w:p>
        </w:tc>
        <w:tc>
          <w:tcPr>
            <w:tcW w:w="3099" w:type="pct"/>
            <w:tcBorders>
              <w:top w:val="outset" w:sz="6" w:space="0" w:color="auto"/>
              <w:left w:val="outset" w:sz="6" w:space="0" w:color="auto"/>
              <w:bottom w:val="outset" w:sz="6" w:space="0" w:color="auto"/>
              <w:right w:val="outset" w:sz="6" w:space="0" w:color="auto"/>
            </w:tcBorders>
          </w:tcPr>
          <w:p w14:paraId="0FD74227" w14:textId="33BC3A92" w:rsidR="00E5323B" w:rsidRPr="00E6249A" w:rsidRDefault="00642D9F" w:rsidP="00DA2BF7">
            <w:pPr>
              <w:spacing w:after="0" w:line="240" w:lineRule="auto"/>
              <w:jc w:val="both"/>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Nav.</w:t>
            </w:r>
            <w:r w:rsidR="003F5417" w:rsidRPr="00E6249A">
              <w:rPr>
                <w:rFonts w:ascii="Times New Roman" w:eastAsia="Times New Roman" w:hAnsi="Times New Roman" w:cs="Times New Roman"/>
                <w:iCs/>
                <w:sz w:val="24"/>
                <w:szCs w:val="24"/>
                <w:lang w:eastAsia="lv-LV"/>
              </w:rPr>
              <w:t xml:space="preserve"> </w:t>
            </w:r>
          </w:p>
        </w:tc>
      </w:tr>
    </w:tbl>
    <w:p w14:paraId="6A7179F5" w14:textId="4542FEA0" w:rsidR="00624947" w:rsidRPr="00E6249A" w:rsidRDefault="00624947" w:rsidP="00106281">
      <w:pPr>
        <w:spacing w:after="0" w:line="240" w:lineRule="auto"/>
        <w:rPr>
          <w:rFonts w:ascii="Arial" w:eastAsia="Times New Roman" w:hAnsi="Arial" w:cs="Arial"/>
          <w:b/>
          <w:bCs/>
          <w:sz w:val="24"/>
          <w:szCs w:val="24"/>
          <w:lang w:eastAsia="lv-LV"/>
        </w:rPr>
      </w:pPr>
    </w:p>
    <w:tbl>
      <w:tblPr>
        <w:tblW w:w="506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3113"/>
        <w:gridCol w:w="5626"/>
      </w:tblGrid>
      <w:tr w:rsidR="00F05270" w:rsidRPr="00E6249A" w14:paraId="1E34320E" w14:textId="77777777" w:rsidTr="00CC12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950E0EC" w14:textId="77777777" w:rsidR="00655F2C" w:rsidRPr="00E6249A" w:rsidRDefault="00E5323B" w:rsidP="00DA2BF7">
            <w:pPr>
              <w:spacing w:after="0" w:line="240" w:lineRule="auto"/>
              <w:jc w:val="center"/>
              <w:rPr>
                <w:rFonts w:ascii="Times New Roman" w:eastAsia="Times New Roman" w:hAnsi="Times New Roman" w:cs="Times New Roman"/>
                <w:b/>
                <w:bCs/>
                <w:iCs/>
                <w:sz w:val="24"/>
                <w:szCs w:val="24"/>
                <w:lang w:eastAsia="lv-LV"/>
              </w:rPr>
            </w:pPr>
            <w:r w:rsidRPr="00E6249A">
              <w:rPr>
                <w:rFonts w:ascii="Times New Roman" w:eastAsia="Times New Roman" w:hAnsi="Times New Roman" w:cs="Times New Roman"/>
                <w:b/>
                <w:bCs/>
                <w:iCs/>
                <w:sz w:val="24"/>
                <w:szCs w:val="24"/>
                <w:lang w:eastAsia="lv-LV"/>
              </w:rPr>
              <w:t>VII. Tiesību akta projekta izpildes nodrošināšana un tās ietekme uz institūcijām</w:t>
            </w:r>
          </w:p>
          <w:p w14:paraId="4F62D939" w14:textId="5ED2D561" w:rsidR="00F05270" w:rsidRPr="00E6249A" w:rsidRDefault="00F05270" w:rsidP="00DA2BF7">
            <w:pPr>
              <w:spacing w:after="0" w:line="240" w:lineRule="auto"/>
              <w:jc w:val="center"/>
              <w:rPr>
                <w:rFonts w:ascii="Times New Roman" w:eastAsia="Times New Roman" w:hAnsi="Times New Roman" w:cs="Times New Roman"/>
                <w:b/>
                <w:bCs/>
                <w:iCs/>
                <w:sz w:val="24"/>
                <w:szCs w:val="24"/>
                <w:lang w:eastAsia="lv-LV"/>
              </w:rPr>
            </w:pPr>
          </w:p>
        </w:tc>
      </w:tr>
      <w:tr w:rsidR="00F05270" w:rsidRPr="00E6249A" w14:paraId="4CCA7D18" w14:textId="77777777" w:rsidTr="00304568">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53710E77"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1.</w:t>
            </w:r>
          </w:p>
        </w:tc>
        <w:tc>
          <w:tcPr>
            <w:tcW w:w="1665" w:type="pct"/>
            <w:tcBorders>
              <w:top w:val="outset" w:sz="6" w:space="0" w:color="auto"/>
              <w:left w:val="outset" w:sz="6" w:space="0" w:color="auto"/>
              <w:bottom w:val="outset" w:sz="6" w:space="0" w:color="auto"/>
              <w:right w:val="outset" w:sz="6" w:space="0" w:color="auto"/>
            </w:tcBorders>
            <w:hideMark/>
          </w:tcPr>
          <w:p w14:paraId="3344BABB"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Projekta izpildē iesaistītās institūcijas</w:t>
            </w:r>
          </w:p>
        </w:tc>
        <w:tc>
          <w:tcPr>
            <w:tcW w:w="2982" w:type="pct"/>
            <w:tcBorders>
              <w:top w:val="outset" w:sz="6" w:space="0" w:color="auto"/>
              <w:left w:val="outset" w:sz="6" w:space="0" w:color="auto"/>
              <w:bottom w:val="outset" w:sz="6" w:space="0" w:color="auto"/>
              <w:right w:val="outset" w:sz="6" w:space="0" w:color="auto"/>
            </w:tcBorders>
          </w:tcPr>
          <w:p w14:paraId="6EBC670E" w14:textId="7D700657" w:rsidR="00E5323B" w:rsidRPr="00E6249A" w:rsidRDefault="007143F6" w:rsidP="00E8247A">
            <w:pPr>
              <w:spacing w:after="0" w:line="240" w:lineRule="auto"/>
              <w:jc w:val="both"/>
              <w:rPr>
                <w:rFonts w:ascii="Times New Roman" w:eastAsia="Times New Roman" w:hAnsi="Times New Roman" w:cs="Times New Roman"/>
                <w:iCs/>
                <w:sz w:val="24"/>
                <w:szCs w:val="24"/>
                <w:lang w:eastAsia="lv-LV"/>
              </w:rPr>
            </w:pPr>
            <w:r w:rsidRPr="007143F6">
              <w:rPr>
                <w:rFonts w:ascii="Times New Roman" w:eastAsia="Times New Roman" w:hAnsi="Times New Roman" w:cs="Times New Roman"/>
                <w:bCs/>
                <w:iCs/>
                <w:sz w:val="24"/>
                <w:szCs w:val="24"/>
                <w:lang w:eastAsia="lv-LV"/>
              </w:rPr>
              <w:t>Noteikumu projekta izpildi nodrošinās VSIA „Latvijas Jūras administrācija” Jūrnieku reģistrs.</w:t>
            </w:r>
          </w:p>
        </w:tc>
      </w:tr>
      <w:tr w:rsidR="00F05270" w:rsidRPr="00E6249A" w14:paraId="721FA1F7" w14:textId="77777777" w:rsidTr="00304568">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0F2DE90C" w14:textId="465889E9"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2.</w:t>
            </w:r>
          </w:p>
        </w:tc>
        <w:tc>
          <w:tcPr>
            <w:tcW w:w="1665" w:type="pct"/>
            <w:tcBorders>
              <w:top w:val="outset" w:sz="6" w:space="0" w:color="auto"/>
              <w:left w:val="outset" w:sz="6" w:space="0" w:color="auto"/>
              <w:bottom w:val="outset" w:sz="6" w:space="0" w:color="auto"/>
              <w:right w:val="outset" w:sz="6" w:space="0" w:color="auto"/>
            </w:tcBorders>
            <w:hideMark/>
          </w:tcPr>
          <w:p w14:paraId="6F523757"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Projekta izpildes ietekme uz pārvaldes funkcijām un institucionālo struktūru.</w:t>
            </w:r>
            <w:r w:rsidRPr="00E6249A">
              <w:rPr>
                <w:rFonts w:ascii="Times New Roman" w:eastAsia="Times New Roman" w:hAnsi="Times New Roman" w:cs="Times New Roman"/>
                <w:iCs/>
                <w:sz w:val="24"/>
                <w:szCs w:val="24"/>
                <w:lang w:eastAsia="lv-LV"/>
              </w:rPr>
              <w:br/>
              <w:t xml:space="preserve">Jaunu institūciju izveide, esošu institūciju likvidācija vai </w:t>
            </w:r>
            <w:r w:rsidRPr="00E6249A">
              <w:rPr>
                <w:rFonts w:ascii="Times New Roman" w:eastAsia="Times New Roman" w:hAnsi="Times New Roman" w:cs="Times New Roman"/>
                <w:iCs/>
                <w:sz w:val="24"/>
                <w:szCs w:val="24"/>
                <w:lang w:eastAsia="lv-LV"/>
              </w:rPr>
              <w:lastRenderedPageBreak/>
              <w:t>reorganizācija, to ietekme uz institūcijas cilvēkresursiem</w:t>
            </w:r>
          </w:p>
        </w:tc>
        <w:tc>
          <w:tcPr>
            <w:tcW w:w="2982" w:type="pct"/>
            <w:tcBorders>
              <w:top w:val="outset" w:sz="6" w:space="0" w:color="auto"/>
              <w:left w:val="outset" w:sz="6" w:space="0" w:color="auto"/>
              <w:bottom w:val="outset" w:sz="6" w:space="0" w:color="auto"/>
              <w:right w:val="outset" w:sz="6" w:space="0" w:color="auto"/>
            </w:tcBorders>
            <w:hideMark/>
          </w:tcPr>
          <w:p w14:paraId="227735E9" w14:textId="77777777" w:rsidR="007143F6" w:rsidRPr="007143F6" w:rsidRDefault="007143F6" w:rsidP="007143F6">
            <w:pPr>
              <w:spacing w:after="0" w:line="240" w:lineRule="auto"/>
              <w:jc w:val="both"/>
              <w:rPr>
                <w:rFonts w:ascii="Times New Roman" w:eastAsia="Times New Roman" w:hAnsi="Times New Roman" w:cs="Times New Roman"/>
                <w:iCs/>
                <w:sz w:val="24"/>
                <w:szCs w:val="24"/>
                <w:lang w:eastAsia="lv-LV"/>
              </w:rPr>
            </w:pPr>
            <w:r w:rsidRPr="007143F6">
              <w:rPr>
                <w:rFonts w:ascii="Times New Roman" w:eastAsia="Times New Roman" w:hAnsi="Times New Roman" w:cs="Times New Roman"/>
                <w:iCs/>
                <w:sz w:val="24"/>
                <w:szCs w:val="24"/>
                <w:lang w:eastAsia="lv-LV"/>
              </w:rPr>
              <w:lastRenderedPageBreak/>
              <w:t>Noteikumu projekta īstenošana tiks veikta esošo cilvēkresursu ietvaros.</w:t>
            </w:r>
          </w:p>
          <w:p w14:paraId="525BF3CD" w14:textId="77777777" w:rsidR="007143F6" w:rsidRPr="007143F6" w:rsidRDefault="007143F6" w:rsidP="007143F6">
            <w:pPr>
              <w:spacing w:after="0" w:line="240" w:lineRule="auto"/>
              <w:jc w:val="both"/>
              <w:rPr>
                <w:rFonts w:ascii="Times New Roman" w:eastAsia="Times New Roman" w:hAnsi="Times New Roman" w:cs="Times New Roman"/>
                <w:iCs/>
                <w:sz w:val="24"/>
                <w:szCs w:val="24"/>
                <w:lang w:eastAsia="lv-LV"/>
              </w:rPr>
            </w:pPr>
          </w:p>
          <w:p w14:paraId="4021F779" w14:textId="2CA4D63E" w:rsidR="00E5323B" w:rsidRPr="00E6249A" w:rsidRDefault="007143F6" w:rsidP="007143F6">
            <w:pPr>
              <w:spacing w:after="0" w:line="240" w:lineRule="auto"/>
              <w:jc w:val="both"/>
              <w:rPr>
                <w:rFonts w:ascii="Times New Roman" w:eastAsia="Times New Roman" w:hAnsi="Times New Roman" w:cs="Times New Roman"/>
                <w:iCs/>
                <w:sz w:val="24"/>
                <w:szCs w:val="24"/>
                <w:lang w:eastAsia="lv-LV"/>
              </w:rPr>
            </w:pPr>
            <w:r w:rsidRPr="007143F6">
              <w:rPr>
                <w:rFonts w:ascii="Times New Roman" w:eastAsia="Times New Roman" w:hAnsi="Times New Roman" w:cs="Times New Roman"/>
                <w:iCs/>
                <w:sz w:val="24"/>
                <w:szCs w:val="24"/>
                <w:lang w:eastAsia="lv-LV"/>
              </w:rPr>
              <w:t>Saistībā ar projekta izpildi iesaistīto institūciju funkcijas netiek paplašinātas vai sašaurinātas.</w:t>
            </w:r>
          </w:p>
        </w:tc>
      </w:tr>
      <w:tr w:rsidR="00E5323B" w:rsidRPr="00E6249A" w14:paraId="3B9ABED0" w14:textId="77777777" w:rsidTr="00304568">
        <w:trPr>
          <w:tblCellSpacing w:w="15" w:type="dxa"/>
        </w:trPr>
        <w:tc>
          <w:tcPr>
            <w:tcW w:w="288" w:type="pct"/>
            <w:tcBorders>
              <w:top w:val="outset" w:sz="6" w:space="0" w:color="auto"/>
              <w:left w:val="outset" w:sz="6" w:space="0" w:color="auto"/>
              <w:bottom w:val="outset" w:sz="6" w:space="0" w:color="auto"/>
              <w:right w:val="outset" w:sz="6" w:space="0" w:color="auto"/>
            </w:tcBorders>
            <w:hideMark/>
          </w:tcPr>
          <w:p w14:paraId="429565BC" w14:textId="77777777" w:rsidR="00655F2C"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3.</w:t>
            </w:r>
          </w:p>
        </w:tc>
        <w:tc>
          <w:tcPr>
            <w:tcW w:w="1665" w:type="pct"/>
            <w:tcBorders>
              <w:top w:val="outset" w:sz="6" w:space="0" w:color="auto"/>
              <w:left w:val="outset" w:sz="6" w:space="0" w:color="auto"/>
              <w:bottom w:val="outset" w:sz="6" w:space="0" w:color="auto"/>
              <w:right w:val="outset" w:sz="6" w:space="0" w:color="auto"/>
            </w:tcBorders>
            <w:hideMark/>
          </w:tcPr>
          <w:p w14:paraId="786CB170" w14:textId="77777777" w:rsidR="00E5323B" w:rsidRPr="00E6249A" w:rsidRDefault="00E5323B"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Cita informācija</w:t>
            </w:r>
          </w:p>
        </w:tc>
        <w:tc>
          <w:tcPr>
            <w:tcW w:w="2982" w:type="pct"/>
            <w:tcBorders>
              <w:top w:val="outset" w:sz="6" w:space="0" w:color="auto"/>
              <w:left w:val="outset" w:sz="6" w:space="0" w:color="auto"/>
              <w:bottom w:val="outset" w:sz="6" w:space="0" w:color="auto"/>
              <w:right w:val="outset" w:sz="6" w:space="0" w:color="auto"/>
            </w:tcBorders>
            <w:hideMark/>
          </w:tcPr>
          <w:p w14:paraId="7CE01536" w14:textId="2465C38B" w:rsidR="00E5323B" w:rsidRPr="00E6249A" w:rsidRDefault="006B585C" w:rsidP="00E5323B">
            <w:pPr>
              <w:spacing w:after="0" w:line="240" w:lineRule="auto"/>
              <w:rPr>
                <w:rFonts w:ascii="Times New Roman" w:eastAsia="Times New Roman" w:hAnsi="Times New Roman" w:cs="Times New Roman"/>
                <w:iCs/>
                <w:sz w:val="24"/>
                <w:szCs w:val="24"/>
                <w:lang w:eastAsia="lv-LV"/>
              </w:rPr>
            </w:pPr>
            <w:r w:rsidRPr="00E6249A">
              <w:rPr>
                <w:rFonts w:ascii="Times New Roman" w:eastAsia="Times New Roman" w:hAnsi="Times New Roman" w:cs="Times New Roman"/>
                <w:iCs/>
                <w:sz w:val="24"/>
                <w:szCs w:val="24"/>
                <w:lang w:eastAsia="lv-LV"/>
              </w:rPr>
              <w:t>Nav.</w:t>
            </w:r>
          </w:p>
        </w:tc>
      </w:tr>
    </w:tbl>
    <w:p w14:paraId="419CFFBA" w14:textId="00823190" w:rsidR="002C1719" w:rsidRDefault="002C1719" w:rsidP="006B585C">
      <w:pPr>
        <w:tabs>
          <w:tab w:val="left" w:pos="6237"/>
        </w:tabs>
        <w:spacing w:after="0" w:line="240" w:lineRule="auto"/>
        <w:ind w:firstLine="720"/>
        <w:rPr>
          <w:rFonts w:ascii="Times New Roman" w:hAnsi="Times New Roman" w:cs="Times New Roman"/>
          <w:sz w:val="28"/>
          <w:szCs w:val="28"/>
        </w:rPr>
      </w:pPr>
    </w:p>
    <w:p w14:paraId="1DB41FCE" w14:textId="77777777" w:rsidR="001457C3" w:rsidRDefault="001457C3" w:rsidP="006B585C">
      <w:pPr>
        <w:tabs>
          <w:tab w:val="left" w:pos="6237"/>
        </w:tabs>
        <w:spacing w:after="0" w:line="240" w:lineRule="auto"/>
        <w:ind w:firstLine="720"/>
        <w:rPr>
          <w:rFonts w:ascii="Times New Roman" w:hAnsi="Times New Roman" w:cs="Times New Roman"/>
          <w:sz w:val="28"/>
          <w:szCs w:val="28"/>
        </w:rPr>
      </w:pPr>
    </w:p>
    <w:p w14:paraId="65AFBA6B" w14:textId="5919629C" w:rsidR="006B585C" w:rsidRPr="00E6249A" w:rsidRDefault="006B585C" w:rsidP="006B585C">
      <w:pPr>
        <w:tabs>
          <w:tab w:val="left" w:pos="6237"/>
        </w:tabs>
        <w:spacing w:after="0" w:line="240" w:lineRule="auto"/>
        <w:ind w:firstLine="720"/>
        <w:rPr>
          <w:rFonts w:ascii="Times New Roman" w:hAnsi="Times New Roman" w:cs="Times New Roman"/>
          <w:sz w:val="24"/>
          <w:szCs w:val="24"/>
        </w:rPr>
      </w:pPr>
      <w:r w:rsidRPr="00E6249A">
        <w:rPr>
          <w:rFonts w:ascii="Times New Roman" w:hAnsi="Times New Roman" w:cs="Times New Roman"/>
          <w:sz w:val="24"/>
          <w:szCs w:val="24"/>
        </w:rPr>
        <w:t>Satiksmes ministrs</w:t>
      </w:r>
      <w:r w:rsidRPr="00E6249A">
        <w:rPr>
          <w:rFonts w:ascii="Times New Roman" w:hAnsi="Times New Roman" w:cs="Times New Roman"/>
          <w:sz w:val="24"/>
          <w:szCs w:val="24"/>
        </w:rPr>
        <w:tab/>
      </w:r>
      <w:r w:rsidRPr="00E6249A">
        <w:rPr>
          <w:rFonts w:ascii="Times New Roman" w:hAnsi="Times New Roman" w:cs="Times New Roman"/>
          <w:sz w:val="24"/>
          <w:szCs w:val="24"/>
        </w:rPr>
        <w:tab/>
      </w:r>
      <w:r w:rsidRPr="00E6249A">
        <w:rPr>
          <w:rFonts w:ascii="Times New Roman" w:hAnsi="Times New Roman" w:cs="Times New Roman"/>
          <w:sz w:val="24"/>
          <w:szCs w:val="24"/>
        </w:rPr>
        <w:tab/>
        <w:t>T. Linkaits</w:t>
      </w:r>
    </w:p>
    <w:p w14:paraId="1D88C6E4" w14:textId="77777777" w:rsidR="00304568" w:rsidRPr="00E6249A" w:rsidRDefault="00304568" w:rsidP="00E627D1">
      <w:pPr>
        <w:tabs>
          <w:tab w:val="left" w:pos="6237"/>
        </w:tabs>
        <w:spacing w:after="0" w:line="240" w:lineRule="auto"/>
        <w:rPr>
          <w:rFonts w:ascii="Times New Roman" w:hAnsi="Times New Roman" w:cs="Times New Roman"/>
          <w:sz w:val="24"/>
          <w:szCs w:val="24"/>
        </w:rPr>
      </w:pPr>
    </w:p>
    <w:p w14:paraId="79E1C545" w14:textId="77777777" w:rsidR="003F7235" w:rsidRDefault="006B585C" w:rsidP="00E6249A">
      <w:pPr>
        <w:tabs>
          <w:tab w:val="left" w:pos="6237"/>
        </w:tabs>
        <w:spacing w:after="0" w:line="240" w:lineRule="auto"/>
        <w:ind w:firstLine="720"/>
        <w:rPr>
          <w:rFonts w:ascii="Times New Roman" w:hAnsi="Times New Roman" w:cs="Times New Roman"/>
          <w:sz w:val="24"/>
          <w:szCs w:val="24"/>
        </w:rPr>
      </w:pPr>
      <w:r w:rsidRPr="00E6249A">
        <w:rPr>
          <w:rFonts w:ascii="Times New Roman" w:hAnsi="Times New Roman" w:cs="Times New Roman"/>
          <w:sz w:val="24"/>
          <w:szCs w:val="24"/>
        </w:rPr>
        <w:t xml:space="preserve">Vīza: </w:t>
      </w:r>
    </w:p>
    <w:p w14:paraId="457E0D65" w14:textId="77777777" w:rsidR="003F7235" w:rsidRDefault="003F7235" w:rsidP="00E6249A">
      <w:pPr>
        <w:tabs>
          <w:tab w:val="left" w:pos="6237"/>
        </w:tabs>
        <w:spacing w:after="0" w:line="240" w:lineRule="auto"/>
        <w:ind w:firstLine="720"/>
        <w:rPr>
          <w:rFonts w:ascii="Times New Roman" w:hAnsi="Times New Roman" w:cs="Times New Roman"/>
          <w:sz w:val="24"/>
          <w:szCs w:val="24"/>
        </w:rPr>
      </w:pPr>
    </w:p>
    <w:p w14:paraId="2E557960" w14:textId="6559EA4A" w:rsidR="00E6249A" w:rsidRPr="00E6249A" w:rsidRDefault="006B585C" w:rsidP="00E6249A">
      <w:pPr>
        <w:tabs>
          <w:tab w:val="left" w:pos="6237"/>
        </w:tabs>
        <w:spacing w:after="0" w:line="240" w:lineRule="auto"/>
        <w:ind w:firstLine="720"/>
        <w:rPr>
          <w:rFonts w:ascii="Times New Roman" w:hAnsi="Times New Roman" w:cs="Times New Roman"/>
          <w:sz w:val="24"/>
          <w:szCs w:val="24"/>
        </w:rPr>
      </w:pPr>
      <w:r w:rsidRPr="00E6249A">
        <w:rPr>
          <w:rFonts w:ascii="Times New Roman" w:hAnsi="Times New Roman" w:cs="Times New Roman"/>
          <w:sz w:val="24"/>
          <w:szCs w:val="24"/>
        </w:rPr>
        <w:t>valsts sekretār</w:t>
      </w:r>
      <w:r w:rsidR="00E6249A" w:rsidRPr="00E6249A">
        <w:rPr>
          <w:rFonts w:ascii="Times New Roman" w:hAnsi="Times New Roman" w:cs="Times New Roman"/>
          <w:sz w:val="24"/>
          <w:szCs w:val="24"/>
        </w:rPr>
        <w:t>e</w:t>
      </w:r>
      <w:r w:rsidRPr="00E6249A">
        <w:rPr>
          <w:rFonts w:ascii="Times New Roman" w:hAnsi="Times New Roman" w:cs="Times New Roman"/>
          <w:sz w:val="24"/>
          <w:szCs w:val="24"/>
        </w:rPr>
        <w:tab/>
      </w:r>
      <w:r w:rsidRPr="00E6249A">
        <w:rPr>
          <w:rFonts w:ascii="Times New Roman" w:hAnsi="Times New Roman" w:cs="Times New Roman"/>
          <w:sz w:val="24"/>
          <w:szCs w:val="24"/>
        </w:rPr>
        <w:tab/>
      </w:r>
      <w:r w:rsidRPr="00E6249A">
        <w:rPr>
          <w:rFonts w:ascii="Times New Roman" w:hAnsi="Times New Roman" w:cs="Times New Roman"/>
          <w:sz w:val="24"/>
          <w:szCs w:val="24"/>
        </w:rPr>
        <w:tab/>
      </w:r>
      <w:r w:rsidR="00E6249A" w:rsidRPr="00E6249A">
        <w:rPr>
          <w:rFonts w:ascii="Times New Roman" w:hAnsi="Times New Roman" w:cs="Times New Roman"/>
          <w:bCs/>
          <w:sz w:val="24"/>
          <w:szCs w:val="24"/>
        </w:rPr>
        <w:t>I. Stepanova</w:t>
      </w:r>
    </w:p>
    <w:sectPr w:rsidR="00E6249A" w:rsidRPr="00E6249A" w:rsidSect="00642D9F">
      <w:headerReference w:type="default" r:id="rId8"/>
      <w:footerReference w:type="default" r:id="rId9"/>
      <w:footerReference w:type="first" r:id="rId10"/>
      <w:pgSz w:w="11906" w:h="16838"/>
      <w:pgMar w:top="1418"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1B14A" w14:textId="77777777" w:rsidR="000F4C66" w:rsidRDefault="000F4C66" w:rsidP="00894C55">
      <w:pPr>
        <w:spacing w:after="0" w:line="240" w:lineRule="auto"/>
      </w:pPr>
      <w:r>
        <w:separator/>
      </w:r>
    </w:p>
  </w:endnote>
  <w:endnote w:type="continuationSeparator" w:id="0">
    <w:p w14:paraId="75F444D5" w14:textId="77777777" w:rsidR="000F4C66" w:rsidRDefault="000F4C6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023C9" w14:textId="13788C3C" w:rsidR="00B1584C" w:rsidRPr="00894C55" w:rsidRDefault="00B1584C">
    <w:pPr>
      <w:pStyle w:val="Footer"/>
      <w:rPr>
        <w:rFonts w:ascii="Times New Roman" w:hAnsi="Times New Roman" w:cs="Times New Roman"/>
        <w:sz w:val="20"/>
        <w:szCs w:val="20"/>
      </w:rPr>
    </w:pPr>
    <w:r>
      <w:rPr>
        <w:rFonts w:ascii="Times New Roman" w:hAnsi="Times New Roman" w:cs="Times New Roman"/>
        <w:sz w:val="20"/>
        <w:szCs w:val="20"/>
      </w:rPr>
      <w:t>SManot_</w:t>
    </w:r>
    <w:r w:rsidR="004C2D18">
      <w:rPr>
        <w:rFonts w:ascii="Times New Roman" w:hAnsi="Times New Roman" w:cs="Times New Roman"/>
        <w:sz w:val="20"/>
        <w:szCs w:val="20"/>
      </w:rPr>
      <w:t>19012021_GrozMK895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1D19E" w14:textId="2F82FE9C" w:rsidR="00B1584C" w:rsidRPr="00D56790" w:rsidRDefault="00B1584C" w:rsidP="00D56790">
    <w:pPr>
      <w:pStyle w:val="Footer"/>
      <w:rPr>
        <w:rFonts w:ascii="Times New Roman" w:hAnsi="Times New Roman" w:cs="Times New Roman"/>
        <w:sz w:val="20"/>
        <w:szCs w:val="20"/>
      </w:rPr>
    </w:pPr>
    <w:r w:rsidRPr="00D56790">
      <w:rPr>
        <w:rFonts w:ascii="Times New Roman" w:hAnsi="Times New Roman" w:cs="Times New Roman"/>
        <w:sz w:val="20"/>
        <w:szCs w:val="20"/>
      </w:rPr>
      <w:t>SManot_</w:t>
    </w:r>
    <w:r w:rsidR="004C2D18">
      <w:rPr>
        <w:rFonts w:ascii="Times New Roman" w:hAnsi="Times New Roman" w:cs="Times New Roman"/>
        <w:sz w:val="20"/>
        <w:szCs w:val="20"/>
      </w:rPr>
      <w:t>190121_GrozMK895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74A79" w14:textId="77777777" w:rsidR="000F4C66" w:rsidRDefault="000F4C66" w:rsidP="00894C55">
      <w:pPr>
        <w:spacing w:after="0" w:line="240" w:lineRule="auto"/>
      </w:pPr>
      <w:r>
        <w:separator/>
      </w:r>
    </w:p>
  </w:footnote>
  <w:footnote w:type="continuationSeparator" w:id="0">
    <w:p w14:paraId="4B02A990" w14:textId="77777777" w:rsidR="000F4C66" w:rsidRDefault="000F4C66"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249375A" w14:textId="77777777" w:rsidR="00B1584C" w:rsidRPr="00C25B49" w:rsidRDefault="00B1584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42EE2">
          <w:rPr>
            <w:rFonts w:ascii="Times New Roman" w:hAnsi="Times New Roman" w:cs="Times New Roman"/>
            <w:noProof/>
            <w:sz w:val="24"/>
            <w:szCs w:val="20"/>
          </w:rPr>
          <w:t>11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35F0"/>
    <w:multiLevelType w:val="hybridMultilevel"/>
    <w:tmpl w:val="B19C1B2C"/>
    <w:lvl w:ilvl="0" w:tplc="79308CC4">
      <w:start w:val="1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154384"/>
    <w:multiLevelType w:val="hybridMultilevel"/>
    <w:tmpl w:val="93826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62550"/>
    <w:multiLevelType w:val="hybridMultilevel"/>
    <w:tmpl w:val="E346A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E1F24"/>
    <w:multiLevelType w:val="hybridMultilevel"/>
    <w:tmpl w:val="93826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94027"/>
    <w:multiLevelType w:val="hybridMultilevel"/>
    <w:tmpl w:val="93826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A4F0C"/>
    <w:multiLevelType w:val="hybridMultilevel"/>
    <w:tmpl w:val="58B8F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03180"/>
    <w:multiLevelType w:val="hybridMultilevel"/>
    <w:tmpl w:val="72049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930E2"/>
    <w:multiLevelType w:val="hybridMultilevel"/>
    <w:tmpl w:val="32F41B8E"/>
    <w:lvl w:ilvl="0" w:tplc="0DF27B4A">
      <w:start w:val="2019"/>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A044E"/>
    <w:multiLevelType w:val="hybridMultilevel"/>
    <w:tmpl w:val="BF74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27758"/>
    <w:multiLevelType w:val="hybridMultilevel"/>
    <w:tmpl w:val="B60E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63179"/>
    <w:multiLevelType w:val="hybridMultilevel"/>
    <w:tmpl w:val="E346A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00825"/>
    <w:multiLevelType w:val="hybridMultilevel"/>
    <w:tmpl w:val="B60E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50941"/>
    <w:multiLevelType w:val="multilevel"/>
    <w:tmpl w:val="212C1752"/>
    <w:lvl w:ilvl="0">
      <w:start w:val="1"/>
      <w:numFmt w:val="decimal"/>
      <w:lvlText w:val="%1."/>
      <w:lvlJc w:val="left"/>
      <w:pPr>
        <w:ind w:left="1080" w:hanging="360"/>
      </w:pPr>
      <w:rPr>
        <w:rFonts w:hint="default"/>
        <w:b w:val="0"/>
        <w:color w:val="auto"/>
        <w:sz w:val="28"/>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5936BFB"/>
    <w:multiLevelType w:val="hybridMultilevel"/>
    <w:tmpl w:val="671059AA"/>
    <w:lvl w:ilvl="0" w:tplc="29642D9E">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46B42481"/>
    <w:multiLevelType w:val="hybridMultilevel"/>
    <w:tmpl w:val="58B8F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05D64"/>
    <w:multiLevelType w:val="hybridMultilevel"/>
    <w:tmpl w:val="D6B8E5BA"/>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107EE"/>
    <w:multiLevelType w:val="hybridMultilevel"/>
    <w:tmpl w:val="58B8F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7787E"/>
    <w:multiLevelType w:val="hybridMultilevel"/>
    <w:tmpl w:val="A022C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453CF"/>
    <w:multiLevelType w:val="hybridMultilevel"/>
    <w:tmpl w:val="FB14E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359A7"/>
    <w:multiLevelType w:val="hybridMultilevel"/>
    <w:tmpl w:val="4FFE2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E0685"/>
    <w:multiLevelType w:val="hybridMultilevel"/>
    <w:tmpl w:val="A022C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A78B4"/>
    <w:multiLevelType w:val="hybridMultilevel"/>
    <w:tmpl w:val="FDDA2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F36A3C"/>
    <w:multiLevelType w:val="hybridMultilevel"/>
    <w:tmpl w:val="9AB21F08"/>
    <w:lvl w:ilvl="0" w:tplc="0DF27B4A">
      <w:start w:val="2019"/>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51624"/>
    <w:multiLevelType w:val="hybridMultilevel"/>
    <w:tmpl w:val="60B8D24C"/>
    <w:lvl w:ilvl="0" w:tplc="0DF27B4A">
      <w:start w:val="2019"/>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6F6A06FE"/>
    <w:multiLevelType w:val="hybridMultilevel"/>
    <w:tmpl w:val="922C14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3C738A"/>
    <w:multiLevelType w:val="hybridMultilevel"/>
    <w:tmpl w:val="4EDCACB4"/>
    <w:lvl w:ilvl="0" w:tplc="B5ECABA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414790"/>
    <w:multiLevelType w:val="hybridMultilevel"/>
    <w:tmpl w:val="7F44C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1B79AE"/>
    <w:multiLevelType w:val="hybridMultilevel"/>
    <w:tmpl w:val="3C945E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C80D09"/>
    <w:multiLevelType w:val="hybridMultilevel"/>
    <w:tmpl w:val="5448C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28"/>
  </w:num>
  <w:num w:numId="4">
    <w:abstractNumId w:val="21"/>
  </w:num>
  <w:num w:numId="5">
    <w:abstractNumId w:val="11"/>
  </w:num>
  <w:num w:numId="6">
    <w:abstractNumId w:val="9"/>
  </w:num>
  <w:num w:numId="7">
    <w:abstractNumId w:val="26"/>
  </w:num>
  <w:num w:numId="8">
    <w:abstractNumId w:val="23"/>
  </w:num>
  <w:num w:numId="9">
    <w:abstractNumId w:val="7"/>
  </w:num>
  <w:num w:numId="10">
    <w:abstractNumId w:val="22"/>
  </w:num>
  <w:num w:numId="11">
    <w:abstractNumId w:val="8"/>
  </w:num>
  <w:num w:numId="12">
    <w:abstractNumId w:val="20"/>
  </w:num>
  <w:num w:numId="13">
    <w:abstractNumId w:val="14"/>
  </w:num>
  <w:num w:numId="14">
    <w:abstractNumId w:val="5"/>
  </w:num>
  <w:num w:numId="15">
    <w:abstractNumId w:val="17"/>
  </w:num>
  <w:num w:numId="16">
    <w:abstractNumId w:val="6"/>
  </w:num>
  <w:num w:numId="17">
    <w:abstractNumId w:val="10"/>
  </w:num>
  <w:num w:numId="18">
    <w:abstractNumId w:val="27"/>
  </w:num>
  <w:num w:numId="19">
    <w:abstractNumId w:val="3"/>
  </w:num>
  <w:num w:numId="20">
    <w:abstractNumId w:val="1"/>
  </w:num>
  <w:num w:numId="21">
    <w:abstractNumId w:val="4"/>
  </w:num>
  <w:num w:numId="22">
    <w:abstractNumId w:val="24"/>
  </w:num>
  <w:num w:numId="23">
    <w:abstractNumId w:val="15"/>
  </w:num>
  <w:num w:numId="24">
    <w:abstractNumId w:val="19"/>
  </w:num>
  <w:num w:numId="25">
    <w:abstractNumId w:val="25"/>
  </w:num>
  <w:num w:numId="26">
    <w:abstractNumId w:val="13"/>
  </w:num>
  <w:num w:numId="27">
    <w:abstractNumId w:val="2"/>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3A01"/>
    <w:rsid w:val="00015B92"/>
    <w:rsid w:val="000218D4"/>
    <w:rsid w:val="000248C7"/>
    <w:rsid w:val="00031C85"/>
    <w:rsid w:val="0003330D"/>
    <w:rsid w:val="00042C09"/>
    <w:rsid w:val="00043B7C"/>
    <w:rsid w:val="00046C89"/>
    <w:rsid w:val="000501DD"/>
    <w:rsid w:val="00054887"/>
    <w:rsid w:val="00064BA2"/>
    <w:rsid w:val="00085487"/>
    <w:rsid w:val="000952F1"/>
    <w:rsid w:val="0009554D"/>
    <w:rsid w:val="00096CAB"/>
    <w:rsid w:val="000A2EF6"/>
    <w:rsid w:val="000A64FE"/>
    <w:rsid w:val="000B2559"/>
    <w:rsid w:val="000B4A54"/>
    <w:rsid w:val="000C526B"/>
    <w:rsid w:val="000C7E27"/>
    <w:rsid w:val="000D452C"/>
    <w:rsid w:val="000D4681"/>
    <w:rsid w:val="000E69F8"/>
    <w:rsid w:val="000F214B"/>
    <w:rsid w:val="000F4C66"/>
    <w:rsid w:val="00102543"/>
    <w:rsid w:val="00106281"/>
    <w:rsid w:val="00113289"/>
    <w:rsid w:val="00116BAF"/>
    <w:rsid w:val="00123E22"/>
    <w:rsid w:val="00124734"/>
    <w:rsid w:val="00131060"/>
    <w:rsid w:val="0013439C"/>
    <w:rsid w:val="001412DB"/>
    <w:rsid w:val="001427BE"/>
    <w:rsid w:val="00144113"/>
    <w:rsid w:val="001457C3"/>
    <w:rsid w:val="00147174"/>
    <w:rsid w:val="00151526"/>
    <w:rsid w:val="00154594"/>
    <w:rsid w:val="00161C09"/>
    <w:rsid w:val="00173EF8"/>
    <w:rsid w:val="0017564E"/>
    <w:rsid w:val="001903FF"/>
    <w:rsid w:val="0019743F"/>
    <w:rsid w:val="0019752D"/>
    <w:rsid w:val="001A3244"/>
    <w:rsid w:val="001B5A7C"/>
    <w:rsid w:val="001C077A"/>
    <w:rsid w:val="001D0958"/>
    <w:rsid w:val="001D3245"/>
    <w:rsid w:val="001F23D5"/>
    <w:rsid w:val="001F2852"/>
    <w:rsid w:val="001F2FDB"/>
    <w:rsid w:val="001F5921"/>
    <w:rsid w:val="001F6A83"/>
    <w:rsid w:val="001F6DE5"/>
    <w:rsid w:val="00200C66"/>
    <w:rsid w:val="002013D1"/>
    <w:rsid w:val="00202809"/>
    <w:rsid w:val="00206B33"/>
    <w:rsid w:val="00230951"/>
    <w:rsid w:val="00231044"/>
    <w:rsid w:val="002332D9"/>
    <w:rsid w:val="00243426"/>
    <w:rsid w:val="00245D76"/>
    <w:rsid w:val="00250778"/>
    <w:rsid w:val="00267288"/>
    <w:rsid w:val="00270109"/>
    <w:rsid w:val="002709A0"/>
    <w:rsid w:val="002716BB"/>
    <w:rsid w:val="002839B8"/>
    <w:rsid w:val="00287FD0"/>
    <w:rsid w:val="002A1895"/>
    <w:rsid w:val="002A3A48"/>
    <w:rsid w:val="002A4DDD"/>
    <w:rsid w:val="002A5D65"/>
    <w:rsid w:val="002B01A6"/>
    <w:rsid w:val="002B031F"/>
    <w:rsid w:val="002B1077"/>
    <w:rsid w:val="002B4808"/>
    <w:rsid w:val="002C1719"/>
    <w:rsid w:val="002C2540"/>
    <w:rsid w:val="002C5C29"/>
    <w:rsid w:val="002D298D"/>
    <w:rsid w:val="002E028E"/>
    <w:rsid w:val="002E1207"/>
    <w:rsid w:val="002E1C05"/>
    <w:rsid w:val="002E3009"/>
    <w:rsid w:val="002F3F2A"/>
    <w:rsid w:val="002F56C7"/>
    <w:rsid w:val="003028B7"/>
    <w:rsid w:val="00304568"/>
    <w:rsid w:val="0031741B"/>
    <w:rsid w:val="003271F1"/>
    <w:rsid w:val="00327E1E"/>
    <w:rsid w:val="00332A1C"/>
    <w:rsid w:val="00342568"/>
    <w:rsid w:val="00356968"/>
    <w:rsid w:val="00367120"/>
    <w:rsid w:val="00375224"/>
    <w:rsid w:val="00375657"/>
    <w:rsid w:val="00381876"/>
    <w:rsid w:val="00397B1C"/>
    <w:rsid w:val="003B0BF9"/>
    <w:rsid w:val="003B3D37"/>
    <w:rsid w:val="003C5ED6"/>
    <w:rsid w:val="003C710F"/>
    <w:rsid w:val="003D7258"/>
    <w:rsid w:val="003E0791"/>
    <w:rsid w:val="003E3868"/>
    <w:rsid w:val="003F28AC"/>
    <w:rsid w:val="003F5417"/>
    <w:rsid w:val="003F7235"/>
    <w:rsid w:val="00401DB5"/>
    <w:rsid w:val="00401F03"/>
    <w:rsid w:val="0040233E"/>
    <w:rsid w:val="004032BB"/>
    <w:rsid w:val="00407D1D"/>
    <w:rsid w:val="0041080E"/>
    <w:rsid w:val="00413D9B"/>
    <w:rsid w:val="00431A0A"/>
    <w:rsid w:val="00442EE2"/>
    <w:rsid w:val="004454FE"/>
    <w:rsid w:val="00446179"/>
    <w:rsid w:val="00450A92"/>
    <w:rsid w:val="00452AC6"/>
    <w:rsid w:val="00453393"/>
    <w:rsid w:val="004568CE"/>
    <w:rsid w:val="00456E40"/>
    <w:rsid w:val="004614C6"/>
    <w:rsid w:val="00471F27"/>
    <w:rsid w:val="00471FBC"/>
    <w:rsid w:val="00472EE7"/>
    <w:rsid w:val="00481397"/>
    <w:rsid w:val="004A122C"/>
    <w:rsid w:val="004B0744"/>
    <w:rsid w:val="004B38FB"/>
    <w:rsid w:val="004B4989"/>
    <w:rsid w:val="004B668B"/>
    <w:rsid w:val="004C2D18"/>
    <w:rsid w:val="004D60A6"/>
    <w:rsid w:val="004E11C2"/>
    <w:rsid w:val="004F0920"/>
    <w:rsid w:val="004F2DA7"/>
    <w:rsid w:val="004F3D3D"/>
    <w:rsid w:val="005005D1"/>
    <w:rsid w:val="0050178F"/>
    <w:rsid w:val="005052F1"/>
    <w:rsid w:val="00505D35"/>
    <w:rsid w:val="00513F0C"/>
    <w:rsid w:val="00520D76"/>
    <w:rsid w:val="005252BB"/>
    <w:rsid w:val="005328D0"/>
    <w:rsid w:val="00536F40"/>
    <w:rsid w:val="0054019D"/>
    <w:rsid w:val="00547879"/>
    <w:rsid w:val="0055064C"/>
    <w:rsid w:val="00553684"/>
    <w:rsid w:val="0056114D"/>
    <w:rsid w:val="00565B66"/>
    <w:rsid w:val="00566DE3"/>
    <w:rsid w:val="00573EAC"/>
    <w:rsid w:val="00573EEF"/>
    <w:rsid w:val="00576AEA"/>
    <w:rsid w:val="00581FF0"/>
    <w:rsid w:val="00595834"/>
    <w:rsid w:val="005D0DB3"/>
    <w:rsid w:val="005D67AA"/>
    <w:rsid w:val="005D7BAA"/>
    <w:rsid w:val="005E653C"/>
    <w:rsid w:val="005E707B"/>
    <w:rsid w:val="005F1650"/>
    <w:rsid w:val="006153F1"/>
    <w:rsid w:val="00616D4A"/>
    <w:rsid w:val="0062020B"/>
    <w:rsid w:val="00624947"/>
    <w:rsid w:val="006252E2"/>
    <w:rsid w:val="00626D84"/>
    <w:rsid w:val="00633F21"/>
    <w:rsid w:val="0063697F"/>
    <w:rsid w:val="00641988"/>
    <w:rsid w:val="00642D9F"/>
    <w:rsid w:val="00646F70"/>
    <w:rsid w:val="00655F2C"/>
    <w:rsid w:val="006572D2"/>
    <w:rsid w:val="006623CF"/>
    <w:rsid w:val="00673060"/>
    <w:rsid w:val="00673082"/>
    <w:rsid w:val="00676196"/>
    <w:rsid w:val="006830CE"/>
    <w:rsid w:val="006A3554"/>
    <w:rsid w:val="006A3BD4"/>
    <w:rsid w:val="006B3D51"/>
    <w:rsid w:val="006B585C"/>
    <w:rsid w:val="006B6105"/>
    <w:rsid w:val="006B72CD"/>
    <w:rsid w:val="006C1A5F"/>
    <w:rsid w:val="006C4FEB"/>
    <w:rsid w:val="006C58FC"/>
    <w:rsid w:val="006D00A3"/>
    <w:rsid w:val="006D4A21"/>
    <w:rsid w:val="006D59B7"/>
    <w:rsid w:val="006E1081"/>
    <w:rsid w:val="006F262A"/>
    <w:rsid w:val="006F4326"/>
    <w:rsid w:val="006F78AF"/>
    <w:rsid w:val="00702506"/>
    <w:rsid w:val="007143F6"/>
    <w:rsid w:val="00714945"/>
    <w:rsid w:val="00720585"/>
    <w:rsid w:val="007308D8"/>
    <w:rsid w:val="00740B4A"/>
    <w:rsid w:val="0074281D"/>
    <w:rsid w:val="007449E0"/>
    <w:rsid w:val="00761902"/>
    <w:rsid w:val="00772203"/>
    <w:rsid w:val="00773AF6"/>
    <w:rsid w:val="007809FD"/>
    <w:rsid w:val="0078142E"/>
    <w:rsid w:val="00783097"/>
    <w:rsid w:val="007848D9"/>
    <w:rsid w:val="007918CA"/>
    <w:rsid w:val="00795F71"/>
    <w:rsid w:val="00796A88"/>
    <w:rsid w:val="00797E36"/>
    <w:rsid w:val="007C52A5"/>
    <w:rsid w:val="007D3FCB"/>
    <w:rsid w:val="007E5F7A"/>
    <w:rsid w:val="007E6040"/>
    <w:rsid w:val="007E73AB"/>
    <w:rsid w:val="007F1F4E"/>
    <w:rsid w:val="007F6154"/>
    <w:rsid w:val="007F75DD"/>
    <w:rsid w:val="00802B11"/>
    <w:rsid w:val="00816C11"/>
    <w:rsid w:val="0082718C"/>
    <w:rsid w:val="0082760A"/>
    <w:rsid w:val="00850495"/>
    <w:rsid w:val="0086261F"/>
    <w:rsid w:val="00864F96"/>
    <w:rsid w:val="00867C0B"/>
    <w:rsid w:val="008714F0"/>
    <w:rsid w:val="00871AEB"/>
    <w:rsid w:val="00873E30"/>
    <w:rsid w:val="00877731"/>
    <w:rsid w:val="00894C55"/>
    <w:rsid w:val="00894FFE"/>
    <w:rsid w:val="008B28A7"/>
    <w:rsid w:val="008D4DCD"/>
    <w:rsid w:val="008E19D9"/>
    <w:rsid w:val="008E3BDD"/>
    <w:rsid w:val="008E60E1"/>
    <w:rsid w:val="008F10E2"/>
    <w:rsid w:val="008F3315"/>
    <w:rsid w:val="008F676F"/>
    <w:rsid w:val="008F6DB1"/>
    <w:rsid w:val="009057EB"/>
    <w:rsid w:val="00907A93"/>
    <w:rsid w:val="00911880"/>
    <w:rsid w:val="009120B2"/>
    <w:rsid w:val="0091247E"/>
    <w:rsid w:val="00913FF3"/>
    <w:rsid w:val="00936DDE"/>
    <w:rsid w:val="00937ADD"/>
    <w:rsid w:val="00940037"/>
    <w:rsid w:val="00942984"/>
    <w:rsid w:val="009447F1"/>
    <w:rsid w:val="0095281C"/>
    <w:rsid w:val="00953F65"/>
    <w:rsid w:val="00956300"/>
    <w:rsid w:val="00956A3C"/>
    <w:rsid w:val="009621AC"/>
    <w:rsid w:val="00971038"/>
    <w:rsid w:val="009725D2"/>
    <w:rsid w:val="0097305D"/>
    <w:rsid w:val="00982611"/>
    <w:rsid w:val="00985C3E"/>
    <w:rsid w:val="009906B9"/>
    <w:rsid w:val="009A2654"/>
    <w:rsid w:val="009A332B"/>
    <w:rsid w:val="009B22B5"/>
    <w:rsid w:val="009B59DF"/>
    <w:rsid w:val="009C635D"/>
    <w:rsid w:val="009E1625"/>
    <w:rsid w:val="009E29B5"/>
    <w:rsid w:val="009E479B"/>
    <w:rsid w:val="009E6F2E"/>
    <w:rsid w:val="009E73C9"/>
    <w:rsid w:val="00A00FF6"/>
    <w:rsid w:val="00A106FC"/>
    <w:rsid w:val="00A10FC3"/>
    <w:rsid w:val="00A12AF7"/>
    <w:rsid w:val="00A1780A"/>
    <w:rsid w:val="00A267BA"/>
    <w:rsid w:val="00A270CF"/>
    <w:rsid w:val="00A337C4"/>
    <w:rsid w:val="00A37138"/>
    <w:rsid w:val="00A5499E"/>
    <w:rsid w:val="00A55D18"/>
    <w:rsid w:val="00A56AEA"/>
    <w:rsid w:val="00A6073E"/>
    <w:rsid w:val="00A60B12"/>
    <w:rsid w:val="00A61452"/>
    <w:rsid w:val="00A648DF"/>
    <w:rsid w:val="00A657F8"/>
    <w:rsid w:val="00A663CC"/>
    <w:rsid w:val="00A66D83"/>
    <w:rsid w:val="00A70017"/>
    <w:rsid w:val="00A7003A"/>
    <w:rsid w:val="00A7489E"/>
    <w:rsid w:val="00A80AD7"/>
    <w:rsid w:val="00A90AEF"/>
    <w:rsid w:val="00A91261"/>
    <w:rsid w:val="00A92403"/>
    <w:rsid w:val="00A9648E"/>
    <w:rsid w:val="00A96F88"/>
    <w:rsid w:val="00AA267C"/>
    <w:rsid w:val="00AB40B0"/>
    <w:rsid w:val="00AC3858"/>
    <w:rsid w:val="00AC67CD"/>
    <w:rsid w:val="00AD7607"/>
    <w:rsid w:val="00AE4951"/>
    <w:rsid w:val="00AE5567"/>
    <w:rsid w:val="00AF1239"/>
    <w:rsid w:val="00AF4CF5"/>
    <w:rsid w:val="00AF632F"/>
    <w:rsid w:val="00AF6DA1"/>
    <w:rsid w:val="00AF7580"/>
    <w:rsid w:val="00B018AB"/>
    <w:rsid w:val="00B02F55"/>
    <w:rsid w:val="00B03369"/>
    <w:rsid w:val="00B038FF"/>
    <w:rsid w:val="00B03A45"/>
    <w:rsid w:val="00B10748"/>
    <w:rsid w:val="00B1584C"/>
    <w:rsid w:val="00B16480"/>
    <w:rsid w:val="00B2084D"/>
    <w:rsid w:val="00B2165C"/>
    <w:rsid w:val="00B22FE7"/>
    <w:rsid w:val="00B2533E"/>
    <w:rsid w:val="00B26533"/>
    <w:rsid w:val="00B3227C"/>
    <w:rsid w:val="00B37FC8"/>
    <w:rsid w:val="00B560AA"/>
    <w:rsid w:val="00B6399E"/>
    <w:rsid w:val="00B70AF2"/>
    <w:rsid w:val="00B83C4E"/>
    <w:rsid w:val="00B97E6A"/>
    <w:rsid w:val="00BA20AA"/>
    <w:rsid w:val="00BB3FFD"/>
    <w:rsid w:val="00BB59DE"/>
    <w:rsid w:val="00BC09AB"/>
    <w:rsid w:val="00BC31DA"/>
    <w:rsid w:val="00BD0CC7"/>
    <w:rsid w:val="00BD43DE"/>
    <w:rsid w:val="00BD4425"/>
    <w:rsid w:val="00BD452E"/>
    <w:rsid w:val="00BE09F0"/>
    <w:rsid w:val="00BE19A9"/>
    <w:rsid w:val="00BE3B41"/>
    <w:rsid w:val="00BE4B93"/>
    <w:rsid w:val="00BF75B0"/>
    <w:rsid w:val="00C00872"/>
    <w:rsid w:val="00C019E5"/>
    <w:rsid w:val="00C05E7C"/>
    <w:rsid w:val="00C11A7D"/>
    <w:rsid w:val="00C12488"/>
    <w:rsid w:val="00C24288"/>
    <w:rsid w:val="00C25B49"/>
    <w:rsid w:val="00C63479"/>
    <w:rsid w:val="00C72EF2"/>
    <w:rsid w:val="00C73278"/>
    <w:rsid w:val="00C83443"/>
    <w:rsid w:val="00C864E4"/>
    <w:rsid w:val="00CA489B"/>
    <w:rsid w:val="00CA4C43"/>
    <w:rsid w:val="00CB04A8"/>
    <w:rsid w:val="00CB0E5A"/>
    <w:rsid w:val="00CB1A2F"/>
    <w:rsid w:val="00CB2E36"/>
    <w:rsid w:val="00CB33B3"/>
    <w:rsid w:val="00CC0D2D"/>
    <w:rsid w:val="00CC1232"/>
    <w:rsid w:val="00CD0493"/>
    <w:rsid w:val="00CE5657"/>
    <w:rsid w:val="00CF643F"/>
    <w:rsid w:val="00D0583F"/>
    <w:rsid w:val="00D05972"/>
    <w:rsid w:val="00D133F8"/>
    <w:rsid w:val="00D14A3E"/>
    <w:rsid w:val="00D169B2"/>
    <w:rsid w:val="00D2416B"/>
    <w:rsid w:val="00D27139"/>
    <w:rsid w:val="00D359D6"/>
    <w:rsid w:val="00D45D27"/>
    <w:rsid w:val="00D5018F"/>
    <w:rsid w:val="00D52809"/>
    <w:rsid w:val="00D52DB9"/>
    <w:rsid w:val="00D56790"/>
    <w:rsid w:val="00D62228"/>
    <w:rsid w:val="00D64BC8"/>
    <w:rsid w:val="00D70B0F"/>
    <w:rsid w:val="00D7279C"/>
    <w:rsid w:val="00DA2BF7"/>
    <w:rsid w:val="00DA6BD7"/>
    <w:rsid w:val="00DB3775"/>
    <w:rsid w:val="00DB47B0"/>
    <w:rsid w:val="00DE244C"/>
    <w:rsid w:val="00DE49CB"/>
    <w:rsid w:val="00E13150"/>
    <w:rsid w:val="00E21122"/>
    <w:rsid w:val="00E31081"/>
    <w:rsid w:val="00E34D25"/>
    <w:rsid w:val="00E3716B"/>
    <w:rsid w:val="00E40822"/>
    <w:rsid w:val="00E45FB9"/>
    <w:rsid w:val="00E50CEF"/>
    <w:rsid w:val="00E5323B"/>
    <w:rsid w:val="00E5659B"/>
    <w:rsid w:val="00E6249A"/>
    <w:rsid w:val="00E627D1"/>
    <w:rsid w:val="00E62D72"/>
    <w:rsid w:val="00E741F6"/>
    <w:rsid w:val="00E74C95"/>
    <w:rsid w:val="00E7759F"/>
    <w:rsid w:val="00E8247A"/>
    <w:rsid w:val="00E86D2F"/>
    <w:rsid w:val="00E8749E"/>
    <w:rsid w:val="00E90C01"/>
    <w:rsid w:val="00E916B3"/>
    <w:rsid w:val="00E9621C"/>
    <w:rsid w:val="00EA04C4"/>
    <w:rsid w:val="00EA43CF"/>
    <w:rsid w:val="00EA486E"/>
    <w:rsid w:val="00EA5E60"/>
    <w:rsid w:val="00EA6EAC"/>
    <w:rsid w:val="00EC1D73"/>
    <w:rsid w:val="00EC2466"/>
    <w:rsid w:val="00EC355A"/>
    <w:rsid w:val="00EC3D33"/>
    <w:rsid w:val="00EC728F"/>
    <w:rsid w:val="00ED025D"/>
    <w:rsid w:val="00ED5A2C"/>
    <w:rsid w:val="00EE576A"/>
    <w:rsid w:val="00EE64C3"/>
    <w:rsid w:val="00F002B3"/>
    <w:rsid w:val="00F05270"/>
    <w:rsid w:val="00F06ACD"/>
    <w:rsid w:val="00F205C8"/>
    <w:rsid w:val="00F21EE4"/>
    <w:rsid w:val="00F30A1D"/>
    <w:rsid w:val="00F317A4"/>
    <w:rsid w:val="00F511ED"/>
    <w:rsid w:val="00F54702"/>
    <w:rsid w:val="00F57B0C"/>
    <w:rsid w:val="00F71C96"/>
    <w:rsid w:val="00F7565A"/>
    <w:rsid w:val="00F8155E"/>
    <w:rsid w:val="00F85E80"/>
    <w:rsid w:val="00F877D2"/>
    <w:rsid w:val="00F91903"/>
    <w:rsid w:val="00FB5E3C"/>
    <w:rsid w:val="00FC3FDA"/>
    <w:rsid w:val="00FC6F94"/>
    <w:rsid w:val="00FD3E2E"/>
    <w:rsid w:val="00FE1038"/>
    <w:rsid w:val="00FE6AD2"/>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B67A"/>
  <w15:docId w15:val="{D62DCA8E-7E1B-409D-98BC-D81E26E1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809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8E60E1"/>
    <w:pPr>
      <w:ind w:left="720"/>
      <w:contextualSpacing/>
    </w:pPr>
  </w:style>
  <w:style w:type="paragraph" w:styleId="FootnoteText">
    <w:name w:val="footnote text"/>
    <w:basedOn w:val="Normal"/>
    <w:link w:val="FootnoteTextChar"/>
    <w:uiPriority w:val="99"/>
    <w:unhideWhenUsed/>
    <w:rsid w:val="00FC6F94"/>
    <w:pPr>
      <w:spacing w:after="0" w:line="240" w:lineRule="auto"/>
    </w:pPr>
    <w:rPr>
      <w:sz w:val="20"/>
      <w:szCs w:val="20"/>
    </w:rPr>
  </w:style>
  <w:style w:type="character" w:customStyle="1" w:styleId="FootnoteTextChar">
    <w:name w:val="Footnote Text Char"/>
    <w:basedOn w:val="DefaultParagraphFont"/>
    <w:link w:val="FootnoteText"/>
    <w:uiPriority w:val="99"/>
    <w:rsid w:val="00FC6F94"/>
    <w:rPr>
      <w:sz w:val="20"/>
      <w:szCs w:val="20"/>
    </w:rPr>
  </w:style>
  <w:style w:type="character" w:styleId="FootnoteReference">
    <w:name w:val="footnote reference"/>
    <w:basedOn w:val="DefaultParagraphFont"/>
    <w:uiPriority w:val="99"/>
    <w:semiHidden/>
    <w:unhideWhenUsed/>
    <w:rsid w:val="00FC6F94"/>
    <w:rPr>
      <w:vertAlign w:val="superscript"/>
    </w:rPr>
  </w:style>
  <w:style w:type="paragraph" w:customStyle="1" w:styleId="title-doc-first">
    <w:name w:val="title-doc-first"/>
    <w:basedOn w:val="Normal"/>
    <w:rsid w:val="005D0D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uiPriority w:val="99"/>
    <w:rsid w:val="00F30A1D"/>
    <w:pPr>
      <w:autoSpaceDE w:val="0"/>
      <w:autoSpaceDN w:val="0"/>
      <w:adjustRightInd w:val="0"/>
      <w:spacing w:after="0" w:line="240" w:lineRule="auto"/>
    </w:pPr>
    <w:rPr>
      <w:rFonts w:ascii="EU Albertina" w:hAnsi="EU Albertina"/>
      <w:sz w:val="24"/>
      <w:szCs w:val="24"/>
      <w:lang w:val="en-US"/>
    </w:rPr>
  </w:style>
  <w:style w:type="paragraph" w:customStyle="1" w:styleId="CM3">
    <w:name w:val="CM3"/>
    <w:basedOn w:val="Normal"/>
    <w:next w:val="Normal"/>
    <w:uiPriority w:val="99"/>
    <w:rsid w:val="00F30A1D"/>
    <w:pPr>
      <w:autoSpaceDE w:val="0"/>
      <w:autoSpaceDN w:val="0"/>
      <w:adjustRightInd w:val="0"/>
      <w:spacing w:after="0" w:line="240" w:lineRule="auto"/>
    </w:pPr>
    <w:rPr>
      <w:rFonts w:ascii="EU Albertina" w:hAnsi="EU Albertina"/>
      <w:sz w:val="24"/>
      <w:szCs w:val="24"/>
      <w:lang w:val="en-US"/>
    </w:rPr>
  </w:style>
  <w:style w:type="character" w:styleId="CommentReference">
    <w:name w:val="annotation reference"/>
    <w:basedOn w:val="DefaultParagraphFont"/>
    <w:uiPriority w:val="99"/>
    <w:semiHidden/>
    <w:unhideWhenUsed/>
    <w:rsid w:val="00270109"/>
    <w:rPr>
      <w:sz w:val="16"/>
      <w:szCs w:val="16"/>
    </w:rPr>
  </w:style>
  <w:style w:type="paragraph" w:styleId="CommentText">
    <w:name w:val="annotation text"/>
    <w:basedOn w:val="Normal"/>
    <w:link w:val="CommentTextChar"/>
    <w:uiPriority w:val="99"/>
    <w:semiHidden/>
    <w:unhideWhenUsed/>
    <w:rsid w:val="00270109"/>
    <w:pPr>
      <w:spacing w:line="240" w:lineRule="auto"/>
    </w:pPr>
    <w:rPr>
      <w:sz w:val="20"/>
      <w:szCs w:val="20"/>
    </w:rPr>
  </w:style>
  <w:style w:type="character" w:customStyle="1" w:styleId="CommentTextChar">
    <w:name w:val="Comment Text Char"/>
    <w:basedOn w:val="DefaultParagraphFont"/>
    <w:link w:val="CommentText"/>
    <w:uiPriority w:val="99"/>
    <w:semiHidden/>
    <w:rsid w:val="00270109"/>
    <w:rPr>
      <w:sz w:val="20"/>
      <w:szCs w:val="20"/>
    </w:rPr>
  </w:style>
  <w:style w:type="paragraph" w:styleId="CommentSubject">
    <w:name w:val="annotation subject"/>
    <w:basedOn w:val="CommentText"/>
    <w:next w:val="CommentText"/>
    <w:link w:val="CommentSubjectChar"/>
    <w:uiPriority w:val="99"/>
    <w:semiHidden/>
    <w:unhideWhenUsed/>
    <w:rsid w:val="00270109"/>
    <w:rPr>
      <w:b/>
      <w:bCs/>
    </w:rPr>
  </w:style>
  <w:style w:type="character" w:customStyle="1" w:styleId="CommentSubjectChar">
    <w:name w:val="Comment Subject Char"/>
    <w:basedOn w:val="CommentTextChar"/>
    <w:link w:val="CommentSubject"/>
    <w:uiPriority w:val="99"/>
    <w:semiHidden/>
    <w:rsid w:val="00270109"/>
    <w:rPr>
      <w:b/>
      <w:bCs/>
      <w:sz w:val="20"/>
      <w:szCs w:val="20"/>
    </w:rPr>
  </w:style>
  <w:style w:type="character" w:styleId="Emphasis">
    <w:name w:val="Emphasis"/>
    <w:basedOn w:val="DefaultParagraphFont"/>
    <w:uiPriority w:val="20"/>
    <w:qFormat/>
    <w:rsid w:val="000B2559"/>
    <w:rPr>
      <w:i/>
      <w:iCs/>
    </w:rPr>
  </w:style>
  <w:style w:type="character" w:customStyle="1" w:styleId="UnresolvedMention1">
    <w:name w:val="Unresolved Mention1"/>
    <w:basedOn w:val="DefaultParagraphFont"/>
    <w:uiPriority w:val="99"/>
    <w:semiHidden/>
    <w:unhideWhenUsed/>
    <w:rsid w:val="00F85E80"/>
    <w:rPr>
      <w:color w:val="605E5C"/>
      <w:shd w:val="clear" w:color="auto" w:fill="E1DFDD"/>
    </w:rPr>
  </w:style>
  <w:style w:type="character" w:customStyle="1" w:styleId="Heading3Char">
    <w:name w:val="Heading 3 Char"/>
    <w:basedOn w:val="DefaultParagraphFont"/>
    <w:link w:val="Heading3"/>
    <w:uiPriority w:val="9"/>
    <w:semiHidden/>
    <w:rsid w:val="007809FD"/>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DefaultParagraphFont"/>
    <w:uiPriority w:val="99"/>
    <w:semiHidden/>
    <w:unhideWhenUsed/>
    <w:rsid w:val="0095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73634">
      <w:bodyDiv w:val="1"/>
      <w:marLeft w:val="0"/>
      <w:marRight w:val="0"/>
      <w:marTop w:val="0"/>
      <w:marBottom w:val="0"/>
      <w:divBdr>
        <w:top w:val="none" w:sz="0" w:space="0" w:color="auto"/>
        <w:left w:val="none" w:sz="0" w:space="0" w:color="auto"/>
        <w:bottom w:val="none" w:sz="0" w:space="0" w:color="auto"/>
        <w:right w:val="none" w:sz="0" w:space="0" w:color="auto"/>
      </w:divBdr>
      <w:divsChild>
        <w:div w:id="1015546091">
          <w:marLeft w:val="0"/>
          <w:marRight w:val="0"/>
          <w:marTop w:val="480"/>
          <w:marBottom w:val="240"/>
          <w:divBdr>
            <w:top w:val="none" w:sz="0" w:space="0" w:color="auto"/>
            <w:left w:val="none" w:sz="0" w:space="0" w:color="auto"/>
            <w:bottom w:val="none" w:sz="0" w:space="0" w:color="auto"/>
            <w:right w:val="none" w:sz="0" w:space="0" w:color="auto"/>
          </w:divBdr>
        </w:div>
        <w:div w:id="1029378867">
          <w:marLeft w:val="0"/>
          <w:marRight w:val="0"/>
          <w:marTop w:val="0"/>
          <w:marBottom w:val="567"/>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9848626">
      <w:bodyDiv w:val="1"/>
      <w:marLeft w:val="0"/>
      <w:marRight w:val="0"/>
      <w:marTop w:val="0"/>
      <w:marBottom w:val="0"/>
      <w:divBdr>
        <w:top w:val="none" w:sz="0" w:space="0" w:color="auto"/>
        <w:left w:val="none" w:sz="0" w:space="0" w:color="auto"/>
        <w:bottom w:val="none" w:sz="0" w:space="0" w:color="auto"/>
        <w:right w:val="none" w:sz="0" w:space="0" w:color="auto"/>
      </w:divBdr>
      <w:divsChild>
        <w:div w:id="437676826">
          <w:marLeft w:val="0"/>
          <w:marRight w:val="0"/>
          <w:marTop w:val="480"/>
          <w:marBottom w:val="240"/>
          <w:divBdr>
            <w:top w:val="none" w:sz="0" w:space="0" w:color="auto"/>
            <w:left w:val="none" w:sz="0" w:space="0" w:color="auto"/>
            <w:bottom w:val="none" w:sz="0" w:space="0" w:color="auto"/>
            <w:right w:val="none" w:sz="0" w:space="0" w:color="auto"/>
          </w:divBdr>
        </w:div>
        <w:div w:id="1951936065">
          <w:marLeft w:val="0"/>
          <w:marRight w:val="0"/>
          <w:marTop w:val="0"/>
          <w:marBottom w:val="567"/>
          <w:divBdr>
            <w:top w:val="none" w:sz="0" w:space="0" w:color="auto"/>
            <w:left w:val="none" w:sz="0" w:space="0" w:color="auto"/>
            <w:bottom w:val="none" w:sz="0" w:space="0" w:color="auto"/>
            <w:right w:val="none" w:sz="0" w:space="0" w:color="auto"/>
          </w:divBdr>
        </w:div>
      </w:divsChild>
    </w:div>
    <w:div w:id="623006217">
      <w:bodyDiv w:val="1"/>
      <w:marLeft w:val="0"/>
      <w:marRight w:val="0"/>
      <w:marTop w:val="0"/>
      <w:marBottom w:val="0"/>
      <w:divBdr>
        <w:top w:val="none" w:sz="0" w:space="0" w:color="auto"/>
        <w:left w:val="none" w:sz="0" w:space="0" w:color="auto"/>
        <w:bottom w:val="none" w:sz="0" w:space="0" w:color="auto"/>
        <w:right w:val="none" w:sz="0" w:space="0" w:color="auto"/>
      </w:divBdr>
      <w:divsChild>
        <w:div w:id="1552766825">
          <w:marLeft w:val="0"/>
          <w:marRight w:val="0"/>
          <w:marTop w:val="480"/>
          <w:marBottom w:val="240"/>
          <w:divBdr>
            <w:top w:val="none" w:sz="0" w:space="0" w:color="auto"/>
            <w:left w:val="none" w:sz="0" w:space="0" w:color="auto"/>
            <w:bottom w:val="none" w:sz="0" w:space="0" w:color="auto"/>
            <w:right w:val="none" w:sz="0" w:space="0" w:color="auto"/>
          </w:divBdr>
        </w:div>
        <w:div w:id="1758748579">
          <w:marLeft w:val="0"/>
          <w:marRight w:val="0"/>
          <w:marTop w:val="0"/>
          <w:marBottom w:val="567"/>
          <w:divBdr>
            <w:top w:val="none" w:sz="0" w:space="0" w:color="auto"/>
            <w:left w:val="none" w:sz="0" w:space="0" w:color="auto"/>
            <w:bottom w:val="none" w:sz="0" w:space="0" w:color="auto"/>
            <w:right w:val="none" w:sz="0" w:space="0" w:color="auto"/>
          </w:divBdr>
        </w:div>
      </w:divsChild>
    </w:div>
    <w:div w:id="649989781">
      <w:bodyDiv w:val="1"/>
      <w:marLeft w:val="0"/>
      <w:marRight w:val="0"/>
      <w:marTop w:val="0"/>
      <w:marBottom w:val="0"/>
      <w:divBdr>
        <w:top w:val="none" w:sz="0" w:space="0" w:color="auto"/>
        <w:left w:val="none" w:sz="0" w:space="0" w:color="auto"/>
        <w:bottom w:val="none" w:sz="0" w:space="0" w:color="auto"/>
        <w:right w:val="none" w:sz="0" w:space="0" w:color="auto"/>
      </w:divBdr>
    </w:div>
    <w:div w:id="664818618">
      <w:bodyDiv w:val="1"/>
      <w:marLeft w:val="0"/>
      <w:marRight w:val="0"/>
      <w:marTop w:val="0"/>
      <w:marBottom w:val="0"/>
      <w:divBdr>
        <w:top w:val="none" w:sz="0" w:space="0" w:color="auto"/>
        <w:left w:val="none" w:sz="0" w:space="0" w:color="auto"/>
        <w:bottom w:val="none" w:sz="0" w:space="0" w:color="auto"/>
        <w:right w:val="none" w:sz="0" w:space="0" w:color="auto"/>
      </w:divBdr>
    </w:div>
    <w:div w:id="721055085">
      <w:bodyDiv w:val="1"/>
      <w:marLeft w:val="0"/>
      <w:marRight w:val="0"/>
      <w:marTop w:val="0"/>
      <w:marBottom w:val="0"/>
      <w:divBdr>
        <w:top w:val="none" w:sz="0" w:space="0" w:color="auto"/>
        <w:left w:val="none" w:sz="0" w:space="0" w:color="auto"/>
        <w:bottom w:val="none" w:sz="0" w:space="0" w:color="auto"/>
        <w:right w:val="none" w:sz="0" w:space="0" w:color="auto"/>
      </w:divBdr>
      <w:divsChild>
        <w:div w:id="1709985313">
          <w:marLeft w:val="0"/>
          <w:marRight w:val="0"/>
          <w:marTop w:val="480"/>
          <w:marBottom w:val="240"/>
          <w:divBdr>
            <w:top w:val="none" w:sz="0" w:space="0" w:color="auto"/>
            <w:left w:val="none" w:sz="0" w:space="0" w:color="auto"/>
            <w:bottom w:val="none" w:sz="0" w:space="0" w:color="auto"/>
            <w:right w:val="none" w:sz="0" w:space="0" w:color="auto"/>
          </w:divBdr>
        </w:div>
        <w:div w:id="1722365823">
          <w:marLeft w:val="0"/>
          <w:marRight w:val="0"/>
          <w:marTop w:val="0"/>
          <w:marBottom w:val="567"/>
          <w:divBdr>
            <w:top w:val="none" w:sz="0" w:space="0" w:color="auto"/>
            <w:left w:val="none" w:sz="0" w:space="0" w:color="auto"/>
            <w:bottom w:val="none" w:sz="0" w:space="0" w:color="auto"/>
            <w:right w:val="none" w:sz="0" w:space="0" w:color="auto"/>
          </w:divBdr>
        </w:div>
      </w:divsChild>
    </w:div>
    <w:div w:id="745494909">
      <w:bodyDiv w:val="1"/>
      <w:marLeft w:val="0"/>
      <w:marRight w:val="0"/>
      <w:marTop w:val="0"/>
      <w:marBottom w:val="0"/>
      <w:divBdr>
        <w:top w:val="none" w:sz="0" w:space="0" w:color="auto"/>
        <w:left w:val="none" w:sz="0" w:space="0" w:color="auto"/>
        <w:bottom w:val="none" w:sz="0" w:space="0" w:color="auto"/>
        <w:right w:val="none" w:sz="0" w:space="0" w:color="auto"/>
      </w:divBdr>
      <w:divsChild>
        <w:div w:id="1079785590">
          <w:marLeft w:val="0"/>
          <w:marRight w:val="0"/>
          <w:marTop w:val="480"/>
          <w:marBottom w:val="240"/>
          <w:divBdr>
            <w:top w:val="none" w:sz="0" w:space="0" w:color="auto"/>
            <w:left w:val="none" w:sz="0" w:space="0" w:color="auto"/>
            <w:bottom w:val="none" w:sz="0" w:space="0" w:color="auto"/>
            <w:right w:val="none" w:sz="0" w:space="0" w:color="auto"/>
          </w:divBdr>
        </w:div>
        <w:div w:id="398864735">
          <w:marLeft w:val="0"/>
          <w:marRight w:val="0"/>
          <w:marTop w:val="0"/>
          <w:marBottom w:val="567"/>
          <w:divBdr>
            <w:top w:val="none" w:sz="0" w:space="0" w:color="auto"/>
            <w:left w:val="none" w:sz="0" w:space="0" w:color="auto"/>
            <w:bottom w:val="none" w:sz="0" w:space="0" w:color="auto"/>
            <w:right w:val="none" w:sz="0" w:space="0" w:color="auto"/>
          </w:divBdr>
        </w:div>
      </w:divsChild>
    </w:div>
    <w:div w:id="1012949029">
      <w:bodyDiv w:val="1"/>
      <w:marLeft w:val="0"/>
      <w:marRight w:val="0"/>
      <w:marTop w:val="0"/>
      <w:marBottom w:val="0"/>
      <w:divBdr>
        <w:top w:val="none" w:sz="0" w:space="0" w:color="auto"/>
        <w:left w:val="none" w:sz="0" w:space="0" w:color="auto"/>
        <w:bottom w:val="none" w:sz="0" w:space="0" w:color="auto"/>
        <w:right w:val="none" w:sz="0" w:space="0" w:color="auto"/>
      </w:divBdr>
    </w:div>
    <w:div w:id="1069184983">
      <w:bodyDiv w:val="1"/>
      <w:marLeft w:val="0"/>
      <w:marRight w:val="0"/>
      <w:marTop w:val="0"/>
      <w:marBottom w:val="0"/>
      <w:divBdr>
        <w:top w:val="none" w:sz="0" w:space="0" w:color="auto"/>
        <w:left w:val="none" w:sz="0" w:space="0" w:color="auto"/>
        <w:bottom w:val="none" w:sz="0" w:space="0" w:color="auto"/>
        <w:right w:val="none" w:sz="0" w:space="0" w:color="auto"/>
      </w:divBdr>
    </w:div>
    <w:div w:id="1096170911">
      <w:bodyDiv w:val="1"/>
      <w:marLeft w:val="0"/>
      <w:marRight w:val="0"/>
      <w:marTop w:val="0"/>
      <w:marBottom w:val="0"/>
      <w:divBdr>
        <w:top w:val="none" w:sz="0" w:space="0" w:color="auto"/>
        <w:left w:val="none" w:sz="0" w:space="0" w:color="auto"/>
        <w:bottom w:val="none" w:sz="0" w:space="0" w:color="auto"/>
        <w:right w:val="none" w:sz="0" w:space="0" w:color="auto"/>
      </w:divBdr>
      <w:divsChild>
        <w:div w:id="1101485970">
          <w:marLeft w:val="0"/>
          <w:marRight w:val="0"/>
          <w:marTop w:val="480"/>
          <w:marBottom w:val="240"/>
          <w:divBdr>
            <w:top w:val="none" w:sz="0" w:space="0" w:color="auto"/>
            <w:left w:val="none" w:sz="0" w:space="0" w:color="auto"/>
            <w:bottom w:val="none" w:sz="0" w:space="0" w:color="auto"/>
            <w:right w:val="none" w:sz="0" w:space="0" w:color="auto"/>
          </w:divBdr>
        </w:div>
        <w:div w:id="568200071">
          <w:marLeft w:val="0"/>
          <w:marRight w:val="0"/>
          <w:marTop w:val="0"/>
          <w:marBottom w:val="567"/>
          <w:divBdr>
            <w:top w:val="none" w:sz="0" w:space="0" w:color="auto"/>
            <w:left w:val="none" w:sz="0" w:space="0" w:color="auto"/>
            <w:bottom w:val="none" w:sz="0" w:space="0" w:color="auto"/>
            <w:right w:val="none" w:sz="0" w:space="0" w:color="auto"/>
          </w:divBdr>
        </w:div>
      </w:divsChild>
    </w:div>
    <w:div w:id="1247956530">
      <w:bodyDiv w:val="1"/>
      <w:marLeft w:val="0"/>
      <w:marRight w:val="0"/>
      <w:marTop w:val="0"/>
      <w:marBottom w:val="0"/>
      <w:divBdr>
        <w:top w:val="none" w:sz="0" w:space="0" w:color="auto"/>
        <w:left w:val="none" w:sz="0" w:space="0" w:color="auto"/>
        <w:bottom w:val="none" w:sz="0" w:space="0" w:color="auto"/>
        <w:right w:val="none" w:sz="0" w:space="0" w:color="auto"/>
      </w:divBdr>
    </w:div>
    <w:div w:id="1250775491">
      <w:bodyDiv w:val="1"/>
      <w:marLeft w:val="0"/>
      <w:marRight w:val="0"/>
      <w:marTop w:val="0"/>
      <w:marBottom w:val="0"/>
      <w:divBdr>
        <w:top w:val="none" w:sz="0" w:space="0" w:color="auto"/>
        <w:left w:val="none" w:sz="0" w:space="0" w:color="auto"/>
        <w:bottom w:val="none" w:sz="0" w:space="0" w:color="auto"/>
        <w:right w:val="none" w:sz="0" w:space="0" w:color="auto"/>
      </w:divBdr>
    </w:div>
    <w:div w:id="130423893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3548657">
      <w:bodyDiv w:val="1"/>
      <w:marLeft w:val="0"/>
      <w:marRight w:val="0"/>
      <w:marTop w:val="0"/>
      <w:marBottom w:val="0"/>
      <w:divBdr>
        <w:top w:val="none" w:sz="0" w:space="0" w:color="auto"/>
        <w:left w:val="none" w:sz="0" w:space="0" w:color="auto"/>
        <w:bottom w:val="none" w:sz="0" w:space="0" w:color="auto"/>
        <w:right w:val="none" w:sz="0" w:space="0" w:color="auto"/>
      </w:divBdr>
    </w:div>
    <w:div w:id="1538739366">
      <w:bodyDiv w:val="1"/>
      <w:marLeft w:val="0"/>
      <w:marRight w:val="0"/>
      <w:marTop w:val="0"/>
      <w:marBottom w:val="0"/>
      <w:divBdr>
        <w:top w:val="none" w:sz="0" w:space="0" w:color="auto"/>
        <w:left w:val="none" w:sz="0" w:space="0" w:color="auto"/>
        <w:bottom w:val="none" w:sz="0" w:space="0" w:color="auto"/>
        <w:right w:val="none" w:sz="0" w:space="0" w:color="auto"/>
      </w:divBdr>
      <w:divsChild>
        <w:div w:id="1644002075">
          <w:marLeft w:val="0"/>
          <w:marRight w:val="0"/>
          <w:marTop w:val="480"/>
          <w:marBottom w:val="240"/>
          <w:divBdr>
            <w:top w:val="none" w:sz="0" w:space="0" w:color="auto"/>
            <w:left w:val="none" w:sz="0" w:space="0" w:color="auto"/>
            <w:bottom w:val="none" w:sz="0" w:space="0" w:color="auto"/>
            <w:right w:val="none" w:sz="0" w:space="0" w:color="auto"/>
          </w:divBdr>
        </w:div>
        <w:div w:id="1602452671">
          <w:marLeft w:val="0"/>
          <w:marRight w:val="0"/>
          <w:marTop w:val="0"/>
          <w:marBottom w:val="567"/>
          <w:divBdr>
            <w:top w:val="none" w:sz="0" w:space="0" w:color="auto"/>
            <w:left w:val="none" w:sz="0" w:space="0" w:color="auto"/>
            <w:bottom w:val="none" w:sz="0" w:space="0" w:color="auto"/>
            <w:right w:val="none" w:sz="0" w:space="0" w:color="auto"/>
          </w:divBdr>
        </w:div>
      </w:divsChild>
    </w:div>
    <w:div w:id="1689015232">
      <w:bodyDiv w:val="1"/>
      <w:marLeft w:val="0"/>
      <w:marRight w:val="0"/>
      <w:marTop w:val="0"/>
      <w:marBottom w:val="0"/>
      <w:divBdr>
        <w:top w:val="none" w:sz="0" w:space="0" w:color="auto"/>
        <w:left w:val="none" w:sz="0" w:space="0" w:color="auto"/>
        <w:bottom w:val="none" w:sz="0" w:space="0" w:color="auto"/>
        <w:right w:val="none" w:sz="0" w:space="0" w:color="auto"/>
      </w:divBdr>
    </w:div>
    <w:div w:id="1815832393">
      <w:bodyDiv w:val="1"/>
      <w:marLeft w:val="0"/>
      <w:marRight w:val="0"/>
      <w:marTop w:val="0"/>
      <w:marBottom w:val="0"/>
      <w:divBdr>
        <w:top w:val="none" w:sz="0" w:space="0" w:color="auto"/>
        <w:left w:val="none" w:sz="0" w:space="0" w:color="auto"/>
        <w:bottom w:val="none" w:sz="0" w:space="0" w:color="auto"/>
        <w:right w:val="none" w:sz="0" w:space="0" w:color="auto"/>
      </w:divBdr>
    </w:div>
    <w:div w:id="1854801717">
      <w:bodyDiv w:val="1"/>
      <w:marLeft w:val="0"/>
      <w:marRight w:val="0"/>
      <w:marTop w:val="0"/>
      <w:marBottom w:val="0"/>
      <w:divBdr>
        <w:top w:val="none" w:sz="0" w:space="0" w:color="auto"/>
        <w:left w:val="none" w:sz="0" w:space="0" w:color="auto"/>
        <w:bottom w:val="none" w:sz="0" w:space="0" w:color="auto"/>
        <w:right w:val="none" w:sz="0" w:space="0" w:color="auto"/>
      </w:divBdr>
    </w:div>
    <w:div w:id="1911039149">
      <w:bodyDiv w:val="1"/>
      <w:marLeft w:val="0"/>
      <w:marRight w:val="0"/>
      <w:marTop w:val="0"/>
      <w:marBottom w:val="0"/>
      <w:divBdr>
        <w:top w:val="none" w:sz="0" w:space="0" w:color="auto"/>
        <w:left w:val="none" w:sz="0" w:space="0" w:color="auto"/>
        <w:bottom w:val="none" w:sz="0" w:space="0" w:color="auto"/>
        <w:right w:val="none" w:sz="0" w:space="0" w:color="auto"/>
      </w:divBdr>
    </w:div>
    <w:div w:id="1959987738">
      <w:bodyDiv w:val="1"/>
      <w:marLeft w:val="0"/>
      <w:marRight w:val="0"/>
      <w:marTop w:val="0"/>
      <w:marBottom w:val="0"/>
      <w:divBdr>
        <w:top w:val="none" w:sz="0" w:space="0" w:color="auto"/>
        <w:left w:val="none" w:sz="0" w:space="0" w:color="auto"/>
        <w:bottom w:val="none" w:sz="0" w:space="0" w:color="auto"/>
        <w:right w:val="none" w:sz="0" w:space="0" w:color="auto"/>
      </w:divBdr>
    </w:div>
    <w:div w:id="2034529337">
      <w:bodyDiv w:val="1"/>
      <w:marLeft w:val="0"/>
      <w:marRight w:val="0"/>
      <w:marTop w:val="0"/>
      <w:marBottom w:val="0"/>
      <w:divBdr>
        <w:top w:val="none" w:sz="0" w:space="0" w:color="auto"/>
        <w:left w:val="none" w:sz="0" w:space="0" w:color="auto"/>
        <w:bottom w:val="none" w:sz="0" w:space="0" w:color="auto"/>
        <w:right w:val="none" w:sz="0" w:space="0" w:color="auto"/>
      </w:divBdr>
    </w:div>
    <w:div w:id="2135515939">
      <w:bodyDiv w:val="1"/>
      <w:marLeft w:val="0"/>
      <w:marRight w:val="0"/>
      <w:marTop w:val="0"/>
      <w:marBottom w:val="0"/>
      <w:divBdr>
        <w:top w:val="none" w:sz="0" w:space="0" w:color="auto"/>
        <w:left w:val="none" w:sz="0" w:space="0" w:color="auto"/>
        <w:bottom w:val="none" w:sz="0" w:space="0" w:color="auto"/>
        <w:right w:val="none" w:sz="0" w:space="0" w:color="auto"/>
      </w:divBdr>
    </w:div>
    <w:div w:id="21451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B33D-CB4B-486D-944F-2239A4E0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14164</Words>
  <Characters>8074</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kabineta 2010. gada 21. decembra noteikumos Nr. 1171 "Noteikumi par Latvijas ūdeņu izmantošanas kārtību un kuģošanas režīmu tajos"</vt:lpstr>
      <vt:lpstr>Grozījumi Ministru kabineta 2010. gada 21. decembra noteikumos Nr. 1171 "Noteikumi par Latvijas ūdeņu izmantošanas kārtību un kuģošanas režīmu tajos"</vt:lpstr>
    </vt:vector>
  </TitlesOfParts>
  <Manager/>
  <Company>Satiksmes ministrija</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2005. gada 22. novembra noteikumos Nr. 895 "Jūrnieku sertificēšanas noteikumi"</dc:title>
  <dc:subject>Anotācija</dc:subject>
  <dc:creator>liva.lice@lja.lv</dc:creator>
  <dc:description>67099402, liva.lice@lja.lv</dc:description>
  <cp:lastModifiedBy>Laima Rituma</cp:lastModifiedBy>
  <cp:revision>9</cp:revision>
  <cp:lastPrinted>2019-10-10T14:23:00Z</cp:lastPrinted>
  <dcterms:created xsi:type="dcterms:W3CDTF">2021-01-19T08:48:00Z</dcterms:created>
  <dcterms:modified xsi:type="dcterms:W3CDTF">2021-01-19T14:55:00Z</dcterms:modified>
</cp:coreProperties>
</file>