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B053" w14:textId="793D58F8" w:rsidR="00B95B0A" w:rsidRPr="00493755" w:rsidRDefault="003250AE" w:rsidP="00B95B0A">
      <w:pPr>
        <w:spacing w:after="120" w:line="240" w:lineRule="auto"/>
        <w:jc w:val="center"/>
        <w:rPr>
          <w:rFonts w:cs="Times New Roman"/>
          <w:b/>
          <w:sz w:val="24"/>
          <w:szCs w:val="24"/>
        </w:rPr>
      </w:pPr>
      <w:r w:rsidRPr="00493755">
        <w:rPr>
          <w:rFonts w:cs="Times New Roman"/>
          <w:b/>
          <w:sz w:val="24"/>
          <w:szCs w:val="24"/>
        </w:rPr>
        <w:t xml:space="preserve">      </w:t>
      </w:r>
      <w:r w:rsidR="002F17B7" w:rsidRPr="00493755">
        <w:rPr>
          <w:rFonts w:cs="Times New Roman"/>
          <w:b/>
          <w:sz w:val="24"/>
          <w:szCs w:val="24"/>
        </w:rPr>
        <w:t>I</w:t>
      </w:r>
      <w:r w:rsidR="00B95B0A" w:rsidRPr="00493755">
        <w:rPr>
          <w:rFonts w:cs="Times New Roman"/>
          <w:b/>
          <w:sz w:val="24"/>
          <w:szCs w:val="24"/>
        </w:rPr>
        <w:t>NFORMATĪVAIS ZIŅOJUMS</w:t>
      </w:r>
    </w:p>
    <w:p w14:paraId="7B33F8C3" w14:textId="77777777" w:rsidR="001D52E2" w:rsidRPr="00493755" w:rsidRDefault="001D52E2" w:rsidP="000F5561">
      <w:pPr>
        <w:spacing w:after="120" w:line="240" w:lineRule="auto"/>
        <w:ind w:firstLine="720"/>
        <w:jc w:val="center"/>
        <w:rPr>
          <w:rFonts w:cs="Times New Roman"/>
          <w:b/>
          <w:sz w:val="24"/>
          <w:szCs w:val="24"/>
        </w:rPr>
      </w:pPr>
      <w:bookmarkStart w:id="0" w:name="_Hlk32315205"/>
    </w:p>
    <w:p w14:paraId="17DEF3BE" w14:textId="6157AA7A" w:rsidR="00E60066" w:rsidRPr="00493755" w:rsidRDefault="00983B12" w:rsidP="000F5561">
      <w:pPr>
        <w:spacing w:after="120" w:line="240" w:lineRule="auto"/>
        <w:ind w:firstLine="720"/>
        <w:jc w:val="center"/>
        <w:rPr>
          <w:rFonts w:cs="Times New Roman"/>
          <w:b/>
          <w:sz w:val="24"/>
          <w:szCs w:val="24"/>
        </w:rPr>
      </w:pPr>
      <w:r w:rsidRPr="00493755">
        <w:rPr>
          <w:rFonts w:cs="Times New Roman"/>
          <w:b/>
          <w:sz w:val="24"/>
          <w:szCs w:val="24"/>
        </w:rPr>
        <w:t>Par</w:t>
      </w:r>
      <w:r w:rsidR="000F5561" w:rsidRPr="00493755">
        <w:rPr>
          <w:rFonts w:cs="Times New Roman"/>
          <w:b/>
          <w:sz w:val="24"/>
          <w:szCs w:val="24"/>
        </w:rPr>
        <w:t xml:space="preserve"> </w:t>
      </w:r>
      <w:r w:rsidRPr="00493755">
        <w:rPr>
          <w:rFonts w:cs="Times New Roman"/>
          <w:b/>
          <w:sz w:val="24"/>
          <w:szCs w:val="24"/>
        </w:rPr>
        <w:t xml:space="preserve">Rail Baltica projekta </w:t>
      </w:r>
      <w:r w:rsidR="006D72DB" w:rsidRPr="00493755">
        <w:rPr>
          <w:rFonts w:cs="Times New Roman"/>
          <w:b/>
          <w:sz w:val="24"/>
          <w:szCs w:val="24"/>
        </w:rPr>
        <w:t xml:space="preserve">ieviešanas </w:t>
      </w:r>
      <w:r w:rsidRPr="00493755">
        <w:rPr>
          <w:rFonts w:cs="Times New Roman"/>
          <w:b/>
          <w:sz w:val="24"/>
          <w:szCs w:val="24"/>
        </w:rPr>
        <w:t>progresu Latvijā</w:t>
      </w:r>
      <w:bookmarkEnd w:id="0"/>
    </w:p>
    <w:p w14:paraId="3DDC5B76" w14:textId="4BE4BD7E" w:rsidR="00761BEE" w:rsidRPr="00493755" w:rsidRDefault="00E60066" w:rsidP="00E91DB1">
      <w:pPr>
        <w:spacing w:after="0" w:line="240" w:lineRule="auto"/>
        <w:ind w:firstLine="720"/>
        <w:jc w:val="both"/>
        <w:rPr>
          <w:rFonts w:cs="Times New Roman"/>
          <w:sz w:val="24"/>
          <w:szCs w:val="24"/>
        </w:rPr>
      </w:pPr>
      <w:r w:rsidRPr="00493755">
        <w:rPr>
          <w:rFonts w:cs="Times New Roman"/>
          <w:sz w:val="24"/>
          <w:szCs w:val="24"/>
        </w:rPr>
        <w:t xml:space="preserve">Rail Baltica projekts ir </w:t>
      </w:r>
      <w:r w:rsidR="003C078F" w:rsidRPr="00493755">
        <w:rPr>
          <w:rFonts w:cs="Times New Roman"/>
          <w:sz w:val="24"/>
          <w:szCs w:val="24"/>
        </w:rPr>
        <w:t>Eiropas</w:t>
      </w:r>
      <w:r w:rsidRPr="00493755">
        <w:rPr>
          <w:rFonts w:cs="Times New Roman"/>
          <w:sz w:val="24"/>
          <w:szCs w:val="24"/>
        </w:rPr>
        <w:t xml:space="preserve"> standarta platuma dzelzceļa transporta </w:t>
      </w:r>
      <w:r w:rsidR="003C078F" w:rsidRPr="00493755">
        <w:rPr>
          <w:rFonts w:cs="Times New Roman"/>
          <w:sz w:val="24"/>
          <w:szCs w:val="24"/>
        </w:rPr>
        <w:t>Eiropas</w:t>
      </w:r>
      <w:r w:rsidR="00ED3BDF" w:rsidRPr="00493755">
        <w:rPr>
          <w:rFonts w:cs="Times New Roman"/>
          <w:sz w:val="24"/>
          <w:szCs w:val="24"/>
        </w:rPr>
        <w:t xml:space="preserve"> transporta </w:t>
      </w:r>
      <w:r w:rsidRPr="00493755">
        <w:rPr>
          <w:rFonts w:cs="Times New Roman"/>
          <w:sz w:val="24"/>
          <w:szCs w:val="24"/>
        </w:rPr>
        <w:t xml:space="preserve">tīkla (turpmāk – TEN-T tīkla) Ziemeļjūras – Baltijas koridora transporta sistēmas elements, kas aptver četras </w:t>
      </w:r>
      <w:r w:rsidR="003C078F" w:rsidRPr="00493755">
        <w:rPr>
          <w:rFonts w:cs="Times New Roman"/>
          <w:sz w:val="24"/>
          <w:szCs w:val="24"/>
        </w:rPr>
        <w:t>Eiropas</w:t>
      </w:r>
      <w:r w:rsidRPr="00493755">
        <w:rPr>
          <w:rFonts w:cs="Times New Roman"/>
          <w:sz w:val="24"/>
          <w:szCs w:val="24"/>
        </w:rPr>
        <w:t xml:space="preserve"> Savienības dalībvalstis – Poliju, Lietuvu, Latviju un Igauniju, un netieši arī Somiju, tālākā nākotnē paredzot maršruta pagarinājumu ar savienojumu Tallina – Helsinki</w:t>
      </w:r>
      <w:r w:rsidR="00B6099B" w:rsidRPr="00493755">
        <w:rPr>
          <w:rFonts w:cs="Times New Roman"/>
          <w:sz w:val="24"/>
          <w:szCs w:val="24"/>
        </w:rPr>
        <w:t xml:space="preserve"> (turpmāk – Projekts)</w:t>
      </w:r>
      <w:r w:rsidRPr="00493755">
        <w:rPr>
          <w:rFonts w:cs="Times New Roman"/>
          <w:sz w:val="24"/>
          <w:szCs w:val="24"/>
        </w:rPr>
        <w:t xml:space="preserve">. </w:t>
      </w:r>
      <w:r w:rsidR="004C3C19" w:rsidRPr="00493755">
        <w:rPr>
          <w:rFonts w:cs="Times New Roman"/>
          <w:sz w:val="24"/>
          <w:szCs w:val="24"/>
        </w:rPr>
        <w:t>G</w:t>
      </w:r>
      <w:r w:rsidRPr="00493755">
        <w:rPr>
          <w:rFonts w:cs="Times New Roman"/>
          <w:sz w:val="24"/>
          <w:szCs w:val="24"/>
        </w:rPr>
        <w:t>lobāl</w:t>
      </w:r>
      <w:r w:rsidR="00AB0215" w:rsidRPr="00493755">
        <w:rPr>
          <w:rFonts w:cs="Times New Roman"/>
          <w:sz w:val="24"/>
          <w:szCs w:val="24"/>
        </w:rPr>
        <w:t>ā</w:t>
      </w:r>
      <w:r w:rsidRPr="00493755">
        <w:rPr>
          <w:rFonts w:cs="Times New Roman"/>
          <w:sz w:val="24"/>
          <w:szCs w:val="24"/>
        </w:rPr>
        <w:t xml:space="preserve"> projekta mērķis ir savienot Baltijas valst</w:t>
      </w:r>
      <w:r w:rsidR="001E64DA" w:rsidRPr="00493755">
        <w:rPr>
          <w:rFonts w:cs="Times New Roman"/>
          <w:sz w:val="24"/>
          <w:szCs w:val="24"/>
        </w:rPr>
        <w:t>is</w:t>
      </w:r>
      <w:r w:rsidRPr="00493755">
        <w:rPr>
          <w:rFonts w:cs="Times New Roman"/>
          <w:sz w:val="24"/>
          <w:szCs w:val="24"/>
        </w:rPr>
        <w:t xml:space="preserve"> ar Poliju un pārējo </w:t>
      </w:r>
      <w:r w:rsidR="003C078F" w:rsidRPr="00493755">
        <w:rPr>
          <w:rFonts w:cs="Times New Roman"/>
          <w:sz w:val="24"/>
          <w:szCs w:val="24"/>
        </w:rPr>
        <w:t>Eiropas</w:t>
      </w:r>
      <w:r w:rsidRPr="00493755">
        <w:rPr>
          <w:rFonts w:cs="Times New Roman"/>
          <w:sz w:val="24"/>
          <w:szCs w:val="24"/>
        </w:rPr>
        <w:t xml:space="preserve"> Savienību ar efektīvu, modernu, drošu, videi draudzīgu un tirgus prasībām atbilstošu dzelzceļa pārvadājumu sistēmu. Ziemeļu - Dienvidu virziena </w:t>
      </w:r>
      <w:r w:rsidR="001E64DA" w:rsidRPr="00493755">
        <w:rPr>
          <w:rFonts w:cs="Times New Roman"/>
          <w:sz w:val="24"/>
          <w:szCs w:val="24"/>
        </w:rPr>
        <w:t xml:space="preserve">1435 mm platuma </w:t>
      </w:r>
      <w:r w:rsidRPr="00493755">
        <w:rPr>
          <w:rFonts w:cs="Times New Roman"/>
          <w:sz w:val="24"/>
          <w:szCs w:val="24"/>
        </w:rPr>
        <w:t xml:space="preserve">dzelzceļa līnijas </w:t>
      </w:r>
      <w:r w:rsidR="00195E25" w:rsidRPr="00493755">
        <w:rPr>
          <w:rFonts w:cs="Times New Roman"/>
          <w:sz w:val="24"/>
          <w:szCs w:val="24"/>
        </w:rPr>
        <w:t xml:space="preserve">izbūve </w:t>
      </w:r>
      <w:r w:rsidRPr="00493755">
        <w:rPr>
          <w:rFonts w:cs="Times New Roman"/>
          <w:sz w:val="24"/>
          <w:szCs w:val="24"/>
        </w:rPr>
        <w:t xml:space="preserve">veicinās Baltijas valstu transporta infrastruktūras sistēmas integrāciju </w:t>
      </w:r>
      <w:r w:rsidR="003C078F" w:rsidRPr="00493755">
        <w:rPr>
          <w:rFonts w:cs="Times New Roman"/>
          <w:sz w:val="24"/>
          <w:szCs w:val="24"/>
        </w:rPr>
        <w:t>Eiropas</w:t>
      </w:r>
      <w:r w:rsidRPr="00493755">
        <w:rPr>
          <w:rFonts w:cs="Times New Roman"/>
          <w:sz w:val="24"/>
          <w:szCs w:val="24"/>
        </w:rPr>
        <w:t xml:space="preserve"> Savienībā, kā arī tautsaimniecības ilgtspējīgu </w:t>
      </w:r>
      <w:r w:rsidR="001563EA" w:rsidRPr="00493755">
        <w:rPr>
          <w:rFonts w:cs="Times New Roman"/>
          <w:sz w:val="24"/>
          <w:szCs w:val="24"/>
        </w:rPr>
        <w:t xml:space="preserve">un </w:t>
      </w:r>
      <w:r w:rsidRPr="00493755">
        <w:rPr>
          <w:rFonts w:cs="Times New Roman"/>
          <w:sz w:val="24"/>
          <w:szCs w:val="24"/>
        </w:rPr>
        <w:t>diversificētu attīstību</w:t>
      </w:r>
      <w:r w:rsidR="001563EA" w:rsidRPr="00493755">
        <w:rPr>
          <w:rFonts w:cs="Times New Roman"/>
          <w:sz w:val="24"/>
          <w:szCs w:val="24"/>
        </w:rPr>
        <w:t>, palielinot tās</w:t>
      </w:r>
      <w:r w:rsidRPr="00493755">
        <w:rPr>
          <w:rFonts w:cs="Times New Roman"/>
          <w:sz w:val="24"/>
          <w:szCs w:val="24"/>
        </w:rPr>
        <w:t xml:space="preserve"> konkurētspēju.</w:t>
      </w:r>
    </w:p>
    <w:p w14:paraId="21CA61A3" w14:textId="48642974" w:rsidR="00CB67BB" w:rsidRPr="00493755" w:rsidRDefault="00EC0117" w:rsidP="00890CB4">
      <w:pPr>
        <w:spacing w:before="120" w:after="120" w:line="240" w:lineRule="auto"/>
        <w:ind w:firstLine="720"/>
        <w:jc w:val="center"/>
        <w:rPr>
          <w:rFonts w:cs="Times New Roman"/>
          <w:b/>
          <w:sz w:val="24"/>
          <w:szCs w:val="24"/>
        </w:rPr>
      </w:pPr>
      <w:r w:rsidRPr="00493755">
        <w:rPr>
          <w:rFonts w:cs="Times New Roman"/>
          <w:b/>
          <w:sz w:val="24"/>
          <w:szCs w:val="24"/>
        </w:rPr>
        <w:t>P</w:t>
      </w:r>
      <w:r w:rsidR="00D27971" w:rsidRPr="00493755">
        <w:rPr>
          <w:rFonts w:cs="Times New Roman"/>
          <w:b/>
          <w:sz w:val="24"/>
          <w:szCs w:val="24"/>
        </w:rPr>
        <w:t xml:space="preserve">rojekta realizācijas gaita </w:t>
      </w:r>
    </w:p>
    <w:p w14:paraId="683FC510" w14:textId="225793FC" w:rsidR="0055288A" w:rsidRPr="00493755" w:rsidRDefault="0055288A" w:rsidP="00350A39">
      <w:pPr>
        <w:spacing w:after="0" w:line="240" w:lineRule="auto"/>
        <w:ind w:firstLine="720"/>
        <w:jc w:val="both"/>
        <w:rPr>
          <w:rFonts w:eastAsia="Times New Roman" w:cs="Times New Roman"/>
          <w:sz w:val="24"/>
          <w:szCs w:val="24"/>
        </w:rPr>
      </w:pPr>
      <w:r w:rsidRPr="00493755">
        <w:rPr>
          <w:rFonts w:eastAsia="Times New Roman" w:cs="Times New Roman"/>
          <w:sz w:val="24"/>
          <w:szCs w:val="24"/>
        </w:rPr>
        <w:t xml:space="preserve">Latvijā līdz šim saņemtais finansējums </w:t>
      </w:r>
      <w:r w:rsidR="00BE3652" w:rsidRPr="00493755">
        <w:rPr>
          <w:rFonts w:eastAsia="Times New Roman" w:cs="Times New Roman"/>
          <w:sz w:val="24"/>
          <w:szCs w:val="24"/>
        </w:rPr>
        <w:t xml:space="preserve">tiek </w:t>
      </w:r>
      <w:r w:rsidRPr="00493755">
        <w:rPr>
          <w:rFonts w:eastAsia="Times New Roman" w:cs="Times New Roman"/>
          <w:sz w:val="24"/>
          <w:szCs w:val="24"/>
        </w:rPr>
        <w:t xml:space="preserve">izmantots </w:t>
      </w:r>
      <w:r w:rsidR="00C8682F" w:rsidRPr="00493755">
        <w:rPr>
          <w:rFonts w:eastAsia="Times New Roman" w:cs="Times New Roman"/>
          <w:sz w:val="24"/>
          <w:szCs w:val="24"/>
        </w:rPr>
        <w:t>P</w:t>
      </w:r>
      <w:r w:rsidRPr="00493755">
        <w:rPr>
          <w:rFonts w:eastAsia="Times New Roman" w:cs="Times New Roman"/>
          <w:sz w:val="24"/>
          <w:szCs w:val="24"/>
        </w:rPr>
        <w:t xml:space="preserve">rojekta plānošanas, </w:t>
      </w:r>
      <w:proofErr w:type="spellStart"/>
      <w:r w:rsidRPr="00493755">
        <w:rPr>
          <w:rFonts w:eastAsia="Times New Roman" w:cs="Times New Roman"/>
          <w:sz w:val="24"/>
          <w:szCs w:val="24"/>
        </w:rPr>
        <w:t>būvprojektēšanas</w:t>
      </w:r>
      <w:proofErr w:type="spellEnd"/>
      <w:r w:rsidRPr="00493755">
        <w:rPr>
          <w:rFonts w:eastAsia="Times New Roman" w:cs="Times New Roman"/>
          <w:sz w:val="24"/>
          <w:szCs w:val="24"/>
        </w:rPr>
        <w:t xml:space="preserve"> un būvniecības aktivitātēm. Veiktas Ietekmes uz vidi novērtējuma procedūras, tiek īstenota Rail Baltica pamata trases projektēšana, infrastruktūras apkalpes </w:t>
      </w:r>
      <w:r w:rsidR="009F695E" w:rsidRPr="00493755">
        <w:rPr>
          <w:rFonts w:eastAsia="Times New Roman" w:cs="Times New Roman"/>
          <w:sz w:val="24"/>
          <w:szCs w:val="24"/>
        </w:rPr>
        <w:t>punktu</w:t>
      </w:r>
      <w:r w:rsidRPr="00493755">
        <w:rPr>
          <w:rFonts w:eastAsia="Times New Roman" w:cs="Times New Roman"/>
          <w:sz w:val="24"/>
          <w:szCs w:val="24"/>
        </w:rPr>
        <w:t xml:space="preserve">, reģionālo staciju un pieturu plānošana un projektēšana, kā arī </w:t>
      </w:r>
      <w:r w:rsidR="00735A81">
        <w:rPr>
          <w:rFonts w:eastAsia="Times New Roman" w:cs="Times New Roman"/>
          <w:sz w:val="24"/>
          <w:szCs w:val="24"/>
        </w:rPr>
        <w:t>tiek</w:t>
      </w:r>
      <w:r w:rsidRPr="00493755">
        <w:rPr>
          <w:rFonts w:eastAsia="Times New Roman" w:cs="Times New Roman"/>
          <w:sz w:val="24"/>
          <w:szCs w:val="24"/>
        </w:rPr>
        <w:t xml:space="preserve"> atsavinā</w:t>
      </w:r>
      <w:r w:rsidR="00735A81">
        <w:rPr>
          <w:rFonts w:eastAsia="Times New Roman" w:cs="Times New Roman"/>
          <w:sz w:val="24"/>
          <w:szCs w:val="24"/>
        </w:rPr>
        <w:t>ti</w:t>
      </w:r>
      <w:r w:rsidRPr="00493755">
        <w:rPr>
          <w:rFonts w:eastAsia="Times New Roman" w:cs="Times New Roman"/>
          <w:sz w:val="24"/>
          <w:szCs w:val="24"/>
        </w:rPr>
        <w:t xml:space="preserve"> Rail Baltica </w:t>
      </w:r>
      <w:r w:rsidR="00735A81">
        <w:rPr>
          <w:rFonts w:eastAsia="Times New Roman" w:cs="Times New Roman"/>
          <w:sz w:val="24"/>
          <w:szCs w:val="24"/>
        </w:rPr>
        <w:t>izveidei nepieciešamie</w:t>
      </w:r>
      <w:r w:rsidRPr="00493755">
        <w:rPr>
          <w:rFonts w:eastAsia="Times New Roman" w:cs="Times New Roman"/>
          <w:sz w:val="24"/>
          <w:szCs w:val="24"/>
        </w:rPr>
        <w:t xml:space="preserve"> nekustamie īpašumi. 2020.</w:t>
      </w:r>
      <w:r w:rsidR="008B70E5" w:rsidRPr="00493755">
        <w:rPr>
          <w:rFonts w:eastAsia="Times New Roman" w:cs="Times New Roman"/>
          <w:sz w:val="24"/>
          <w:szCs w:val="24"/>
        </w:rPr>
        <w:t> </w:t>
      </w:r>
      <w:r w:rsidRPr="00493755">
        <w:rPr>
          <w:rFonts w:eastAsia="Times New Roman" w:cs="Times New Roman"/>
          <w:sz w:val="24"/>
          <w:szCs w:val="24"/>
        </w:rPr>
        <w:t>gada novembrī uzsākta Rīgas Centrālā multimodālā mezgla būvniecība un 2021.</w:t>
      </w:r>
      <w:r w:rsidR="008B70E5" w:rsidRPr="00493755">
        <w:rPr>
          <w:rFonts w:eastAsia="Times New Roman" w:cs="Times New Roman"/>
          <w:sz w:val="24"/>
          <w:szCs w:val="24"/>
        </w:rPr>
        <w:t> </w:t>
      </w:r>
      <w:r w:rsidRPr="00493755">
        <w:rPr>
          <w:rFonts w:eastAsia="Times New Roman" w:cs="Times New Roman"/>
          <w:sz w:val="24"/>
          <w:szCs w:val="24"/>
        </w:rPr>
        <w:t>gada maijā uzsākta Rail Baltica starptautiskās lidostas “Rīga” multimodālā transporta mezgla būvniecība. 2021.</w:t>
      </w:r>
      <w:r w:rsidR="008B70E5" w:rsidRPr="00493755">
        <w:rPr>
          <w:rFonts w:eastAsia="Times New Roman" w:cs="Times New Roman"/>
          <w:sz w:val="24"/>
          <w:szCs w:val="24"/>
        </w:rPr>
        <w:t> </w:t>
      </w:r>
      <w:r w:rsidRPr="00493755">
        <w:rPr>
          <w:rFonts w:eastAsia="Times New Roman" w:cs="Times New Roman"/>
          <w:sz w:val="24"/>
          <w:szCs w:val="24"/>
        </w:rPr>
        <w:t xml:space="preserve">gada nogalē izsludināts būvdarbu iepirkums Rail Baltica </w:t>
      </w:r>
      <w:proofErr w:type="spellStart"/>
      <w:r w:rsidRPr="00493755">
        <w:rPr>
          <w:rFonts w:eastAsia="Times New Roman" w:cs="Times New Roman"/>
          <w:sz w:val="24"/>
          <w:szCs w:val="24"/>
        </w:rPr>
        <w:t>pamattrases</w:t>
      </w:r>
      <w:proofErr w:type="spellEnd"/>
      <w:r w:rsidRPr="00493755">
        <w:rPr>
          <w:rFonts w:eastAsia="Times New Roman" w:cs="Times New Roman"/>
          <w:sz w:val="24"/>
          <w:szCs w:val="24"/>
        </w:rPr>
        <w:t xml:space="preserve"> izbūvei, kura uzvarētāju plānots noskaidrot līdz 2022.</w:t>
      </w:r>
      <w:r w:rsidR="008B70E5" w:rsidRPr="00493755">
        <w:rPr>
          <w:rFonts w:eastAsia="Times New Roman" w:cs="Times New Roman"/>
          <w:sz w:val="24"/>
          <w:szCs w:val="24"/>
        </w:rPr>
        <w:t> </w:t>
      </w:r>
      <w:r w:rsidRPr="00493755">
        <w:rPr>
          <w:rFonts w:eastAsia="Times New Roman" w:cs="Times New Roman"/>
          <w:sz w:val="24"/>
          <w:szCs w:val="24"/>
        </w:rPr>
        <w:t>gada beigām.</w:t>
      </w:r>
    </w:p>
    <w:p w14:paraId="0EE938FA" w14:textId="626BA67C" w:rsidR="00445583" w:rsidRPr="00493755" w:rsidRDefault="764EAA92" w:rsidP="00350A39">
      <w:pPr>
        <w:spacing w:after="0" w:line="240" w:lineRule="auto"/>
        <w:ind w:firstLine="720"/>
        <w:jc w:val="both"/>
        <w:rPr>
          <w:rFonts w:eastAsia="Times New Roman" w:cs="Times New Roman"/>
          <w:sz w:val="24"/>
          <w:szCs w:val="24"/>
        </w:rPr>
      </w:pPr>
      <w:r w:rsidRPr="00493755">
        <w:rPr>
          <w:rFonts w:eastAsia="Times New Roman" w:cs="Times New Roman"/>
          <w:sz w:val="24"/>
          <w:szCs w:val="24"/>
        </w:rPr>
        <w:t>Tomēr jā</w:t>
      </w:r>
      <w:r w:rsidR="1A0EA658" w:rsidRPr="00493755">
        <w:rPr>
          <w:rFonts w:eastAsia="Times New Roman" w:cs="Times New Roman"/>
          <w:sz w:val="24"/>
          <w:szCs w:val="24"/>
        </w:rPr>
        <w:t>a</w:t>
      </w:r>
      <w:r w:rsidRPr="00493755">
        <w:rPr>
          <w:rFonts w:eastAsia="Times New Roman" w:cs="Times New Roman"/>
          <w:sz w:val="24"/>
          <w:szCs w:val="24"/>
        </w:rPr>
        <w:t>tzīmē, ka</w:t>
      </w:r>
      <w:r w:rsidR="5FE1C94E" w:rsidRPr="00493755">
        <w:rPr>
          <w:rFonts w:eastAsia="Times New Roman" w:cs="Times New Roman"/>
          <w:sz w:val="24"/>
          <w:szCs w:val="24"/>
        </w:rPr>
        <w:t xml:space="preserve"> </w:t>
      </w:r>
      <w:r w:rsidR="009D2397" w:rsidRPr="00493755">
        <w:rPr>
          <w:rFonts w:eastAsia="Times New Roman" w:cs="Times New Roman"/>
          <w:sz w:val="24"/>
          <w:szCs w:val="24"/>
        </w:rPr>
        <w:t xml:space="preserve">salīdzinājumā ar </w:t>
      </w:r>
      <w:r w:rsidR="00EC11FB" w:rsidRPr="00493755">
        <w:rPr>
          <w:rFonts w:eastAsia="Times New Roman" w:cs="Times New Roman"/>
          <w:sz w:val="24"/>
          <w:szCs w:val="24"/>
        </w:rPr>
        <w:t xml:space="preserve">noslēgto finansēšanas līgumu termiņiem </w:t>
      </w:r>
      <w:r w:rsidR="5FE1C94E" w:rsidRPr="00493755">
        <w:rPr>
          <w:rFonts w:eastAsia="Times New Roman" w:cs="Times New Roman"/>
          <w:sz w:val="24"/>
          <w:szCs w:val="24"/>
        </w:rPr>
        <w:t xml:space="preserve">Projekta realizācijā, īpaši </w:t>
      </w:r>
      <w:r w:rsidR="23EA308E" w:rsidRPr="00493755">
        <w:rPr>
          <w:rFonts w:eastAsia="Times New Roman" w:cs="Times New Roman"/>
          <w:sz w:val="24"/>
          <w:szCs w:val="24"/>
        </w:rPr>
        <w:t xml:space="preserve">projektēšanas </w:t>
      </w:r>
      <w:r w:rsidR="123FE1CF" w:rsidRPr="00493755">
        <w:rPr>
          <w:rFonts w:eastAsia="Times New Roman" w:cs="Times New Roman"/>
          <w:sz w:val="24"/>
          <w:szCs w:val="24"/>
        </w:rPr>
        <w:t>aktivitātē</w:t>
      </w:r>
      <w:r w:rsidR="1B3F6345" w:rsidRPr="00493755">
        <w:rPr>
          <w:rFonts w:eastAsia="Times New Roman" w:cs="Times New Roman"/>
          <w:sz w:val="24"/>
          <w:szCs w:val="24"/>
        </w:rPr>
        <w:t>,</w:t>
      </w:r>
      <w:r w:rsidR="123FE1CF" w:rsidRPr="00493755">
        <w:rPr>
          <w:rFonts w:eastAsia="Times New Roman" w:cs="Times New Roman"/>
          <w:sz w:val="24"/>
          <w:szCs w:val="24"/>
        </w:rPr>
        <w:t xml:space="preserve"> ir </w:t>
      </w:r>
      <w:r w:rsidR="00735A81">
        <w:rPr>
          <w:rFonts w:eastAsia="Times New Roman" w:cs="Times New Roman"/>
          <w:sz w:val="24"/>
          <w:szCs w:val="24"/>
        </w:rPr>
        <w:t>notikuši</w:t>
      </w:r>
      <w:r w:rsidR="00735A81" w:rsidRPr="00493755">
        <w:rPr>
          <w:rFonts w:eastAsia="Times New Roman" w:cs="Times New Roman"/>
          <w:sz w:val="24"/>
          <w:szCs w:val="24"/>
        </w:rPr>
        <w:t xml:space="preserve"> </w:t>
      </w:r>
      <w:r w:rsidR="475EA4C6" w:rsidRPr="00493755">
        <w:rPr>
          <w:rFonts w:eastAsia="Times New Roman" w:cs="Times New Roman"/>
          <w:sz w:val="24"/>
          <w:szCs w:val="24"/>
        </w:rPr>
        <w:t>ievērojami kavējumi.</w:t>
      </w:r>
      <w:r w:rsidR="0A9A6688" w:rsidRPr="00493755">
        <w:rPr>
          <w:rFonts w:eastAsia="Times New Roman" w:cs="Times New Roman"/>
          <w:sz w:val="24"/>
          <w:szCs w:val="24"/>
        </w:rPr>
        <w:t xml:space="preserve"> </w:t>
      </w:r>
      <w:r w:rsidR="0D356194" w:rsidRPr="00493755">
        <w:rPr>
          <w:rFonts w:eastAsia="Times New Roman" w:cs="Times New Roman"/>
          <w:sz w:val="24"/>
          <w:szCs w:val="24"/>
        </w:rPr>
        <w:t>Pamata</w:t>
      </w:r>
      <w:r w:rsidR="23D8F4CC" w:rsidRPr="00493755">
        <w:rPr>
          <w:rFonts w:eastAsia="Times New Roman" w:cs="Times New Roman"/>
          <w:sz w:val="24"/>
          <w:szCs w:val="24"/>
        </w:rPr>
        <w:t xml:space="preserve"> t</w:t>
      </w:r>
      <w:r w:rsidR="6D13D26E" w:rsidRPr="00493755">
        <w:rPr>
          <w:rFonts w:eastAsia="Times New Roman" w:cs="Times New Roman"/>
          <w:sz w:val="24"/>
          <w:szCs w:val="24"/>
        </w:rPr>
        <w:t>r</w:t>
      </w:r>
      <w:r w:rsidR="23D8F4CC" w:rsidRPr="00493755">
        <w:rPr>
          <w:rFonts w:eastAsia="Times New Roman" w:cs="Times New Roman"/>
          <w:sz w:val="24"/>
          <w:szCs w:val="24"/>
        </w:rPr>
        <w:t>as</w:t>
      </w:r>
      <w:r w:rsidR="30F68C6A" w:rsidRPr="00493755">
        <w:rPr>
          <w:rFonts w:eastAsia="Times New Roman" w:cs="Times New Roman"/>
          <w:sz w:val="24"/>
          <w:szCs w:val="24"/>
        </w:rPr>
        <w:t xml:space="preserve">ē </w:t>
      </w:r>
      <w:r w:rsidR="23D8F4CC" w:rsidRPr="00493755">
        <w:rPr>
          <w:rFonts w:eastAsia="Times New Roman" w:cs="Times New Roman"/>
          <w:sz w:val="24"/>
          <w:szCs w:val="24"/>
        </w:rPr>
        <w:t>caur Rīgu (</w:t>
      </w:r>
      <w:r w:rsidR="1B3F6345" w:rsidRPr="00493755">
        <w:rPr>
          <w:rFonts w:eastAsia="Times New Roman" w:cs="Times New Roman"/>
          <w:sz w:val="24"/>
          <w:szCs w:val="24"/>
        </w:rPr>
        <w:t xml:space="preserve">posms </w:t>
      </w:r>
      <w:r w:rsidR="7C408ABF" w:rsidRPr="00493755">
        <w:rPr>
          <w:rFonts w:eastAsia="Times New Roman" w:cs="Times New Roman"/>
          <w:sz w:val="24"/>
          <w:szCs w:val="24"/>
        </w:rPr>
        <w:t xml:space="preserve">Upeslejas </w:t>
      </w:r>
      <w:r w:rsidR="00735A81">
        <w:rPr>
          <w:rFonts w:eastAsia="Times New Roman" w:cs="Times New Roman"/>
          <w:sz w:val="24"/>
          <w:szCs w:val="24"/>
        </w:rPr>
        <w:t>–</w:t>
      </w:r>
      <w:r w:rsidR="7C408ABF" w:rsidRPr="00493755">
        <w:rPr>
          <w:rFonts w:eastAsia="Times New Roman" w:cs="Times New Roman"/>
          <w:sz w:val="24"/>
          <w:szCs w:val="24"/>
        </w:rPr>
        <w:t xml:space="preserve"> </w:t>
      </w:r>
      <w:r w:rsidR="00735A81">
        <w:rPr>
          <w:rFonts w:eastAsia="Times New Roman" w:cs="Times New Roman"/>
          <w:sz w:val="24"/>
          <w:szCs w:val="24"/>
        </w:rPr>
        <w:t xml:space="preserve">Rīga - </w:t>
      </w:r>
      <w:r w:rsidR="7C408ABF" w:rsidRPr="00493755">
        <w:rPr>
          <w:rFonts w:eastAsia="Times New Roman" w:cs="Times New Roman"/>
          <w:sz w:val="24"/>
          <w:szCs w:val="24"/>
        </w:rPr>
        <w:t>Misa</w:t>
      </w:r>
      <w:r w:rsidR="23D8F4CC" w:rsidRPr="00493755">
        <w:rPr>
          <w:rFonts w:eastAsia="Times New Roman" w:cs="Times New Roman"/>
          <w:sz w:val="24"/>
          <w:szCs w:val="24"/>
        </w:rPr>
        <w:t xml:space="preserve">) </w:t>
      </w:r>
      <w:r w:rsidR="75FB7A5D" w:rsidRPr="00493755">
        <w:rPr>
          <w:rFonts w:eastAsia="Times New Roman" w:cs="Times New Roman"/>
          <w:sz w:val="24"/>
          <w:szCs w:val="24"/>
        </w:rPr>
        <w:t>tiek prognozēt</w:t>
      </w:r>
      <w:r w:rsidR="00735A81">
        <w:rPr>
          <w:rFonts w:eastAsia="Times New Roman" w:cs="Times New Roman"/>
          <w:sz w:val="24"/>
          <w:szCs w:val="24"/>
        </w:rPr>
        <w:t>s</w:t>
      </w:r>
      <w:r w:rsidR="75FB7A5D" w:rsidRPr="00493755">
        <w:rPr>
          <w:rFonts w:eastAsia="Times New Roman" w:cs="Times New Roman"/>
          <w:sz w:val="24"/>
          <w:szCs w:val="24"/>
        </w:rPr>
        <w:t xml:space="preserve"> 20 mēnešu </w:t>
      </w:r>
      <w:r w:rsidR="4418D66C" w:rsidRPr="00493755">
        <w:rPr>
          <w:rFonts w:eastAsia="Times New Roman" w:cs="Times New Roman"/>
          <w:sz w:val="24"/>
          <w:szCs w:val="24"/>
        </w:rPr>
        <w:t>projektēšanas darbu kavējum</w:t>
      </w:r>
      <w:r w:rsidR="00735A81">
        <w:rPr>
          <w:rFonts w:eastAsia="Times New Roman" w:cs="Times New Roman"/>
          <w:sz w:val="24"/>
          <w:szCs w:val="24"/>
        </w:rPr>
        <w:t>s</w:t>
      </w:r>
      <w:r w:rsidR="75FB7A5D" w:rsidRPr="00493755">
        <w:rPr>
          <w:rFonts w:eastAsia="Times New Roman" w:cs="Times New Roman"/>
          <w:sz w:val="24"/>
          <w:szCs w:val="24"/>
        </w:rPr>
        <w:t xml:space="preserve">, </w:t>
      </w:r>
      <w:r w:rsidR="66051709" w:rsidRPr="00493755">
        <w:rPr>
          <w:rFonts w:eastAsia="Times New Roman" w:cs="Times New Roman"/>
          <w:sz w:val="24"/>
          <w:szCs w:val="24"/>
        </w:rPr>
        <w:t>posmā Vangaži – Salaspils – Misa tiek prognozēt</w:t>
      </w:r>
      <w:r w:rsidR="00735A81">
        <w:rPr>
          <w:rFonts w:eastAsia="Times New Roman" w:cs="Times New Roman"/>
          <w:sz w:val="24"/>
          <w:szCs w:val="24"/>
        </w:rPr>
        <w:t>s</w:t>
      </w:r>
      <w:r w:rsidR="66051709" w:rsidRPr="00493755">
        <w:rPr>
          <w:rFonts w:eastAsia="Times New Roman" w:cs="Times New Roman"/>
          <w:sz w:val="24"/>
          <w:szCs w:val="24"/>
        </w:rPr>
        <w:t xml:space="preserve"> </w:t>
      </w:r>
      <w:r w:rsidR="747446C6" w:rsidRPr="00493755">
        <w:rPr>
          <w:rFonts w:eastAsia="Times New Roman" w:cs="Times New Roman"/>
          <w:sz w:val="24"/>
          <w:szCs w:val="24"/>
        </w:rPr>
        <w:t xml:space="preserve">19 mēnešu </w:t>
      </w:r>
      <w:r w:rsidR="3C705F78" w:rsidRPr="00493755">
        <w:rPr>
          <w:rFonts w:eastAsia="Times New Roman" w:cs="Times New Roman"/>
          <w:sz w:val="24"/>
          <w:szCs w:val="24"/>
        </w:rPr>
        <w:t>projektēšanas darbu kavējum</w:t>
      </w:r>
      <w:r w:rsidR="00735A81">
        <w:rPr>
          <w:rFonts w:eastAsia="Times New Roman" w:cs="Times New Roman"/>
          <w:sz w:val="24"/>
          <w:szCs w:val="24"/>
        </w:rPr>
        <w:t>s</w:t>
      </w:r>
      <w:r w:rsidR="3C705F78" w:rsidRPr="00493755">
        <w:rPr>
          <w:rFonts w:eastAsia="Times New Roman" w:cs="Times New Roman"/>
          <w:sz w:val="24"/>
          <w:szCs w:val="24"/>
        </w:rPr>
        <w:t>, posm</w:t>
      </w:r>
      <w:r w:rsidR="42FAD2CB" w:rsidRPr="00493755">
        <w:rPr>
          <w:rFonts w:eastAsia="Times New Roman" w:cs="Times New Roman"/>
          <w:sz w:val="24"/>
          <w:szCs w:val="24"/>
        </w:rPr>
        <w:t xml:space="preserve">os </w:t>
      </w:r>
      <w:r w:rsidR="62688879" w:rsidRPr="00493755">
        <w:rPr>
          <w:rFonts w:eastAsia="Times New Roman" w:cs="Times New Roman"/>
          <w:sz w:val="24"/>
          <w:szCs w:val="24"/>
        </w:rPr>
        <w:t xml:space="preserve">Vangaži – Igaunijas robeža </w:t>
      </w:r>
      <w:r w:rsidR="626109BA" w:rsidRPr="00493755">
        <w:rPr>
          <w:rFonts w:eastAsia="Times New Roman" w:cs="Times New Roman"/>
          <w:sz w:val="24"/>
          <w:szCs w:val="24"/>
        </w:rPr>
        <w:t xml:space="preserve">un Misa – Lietuvas robeža </w:t>
      </w:r>
      <w:r w:rsidR="62688879" w:rsidRPr="00493755">
        <w:rPr>
          <w:rFonts w:eastAsia="Times New Roman" w:cs="Times New Roman"/>
          <w:sz w:val="24"/>
          <w:szCs w:val="24"/>
        </w:rPr>
        <w:t>tiek prognozēt</w:t>
      </w:r>
      <w:r w:rsidR="00735A81">
        <w:rPr>
          <w:rFonts w:eastAsia="Times New Roman" w:cs="Times New Roman"/>
          <w:sz w:val="24"/>
          <w:szCs w:val="24"/>
        </w:rPr>
        <w:t>s</w:t>
      </w:r>
      <w:r w:rsidR="62688879" w:rsidRPr="00493755">
        <w:rPr>
          <w:rFonts w:eastAsia="Times New Roman" w:cs="Times New Roman"/>
          <w:sz w:val="24"/>
          <w:szCs w:val="24"/>
        </w:rPr>
        <w:t xml:space="preserve"> </w:t>
      </w:r>
      <w:r w:rsidR="2D19F14C" w:rsidRPr="00493755">
        <w:rPr>
          <w:rFonts w:eastAsia="Times New Roman" w:cs="Times New Roman"/>
          <w:sz w:val="24"/>
          <w:szCs w:val="24"/>
        </w:rPr>
        <w:t>septiņu mēnešu kavējum</w:t>
      </w:r>
      <w:r w:rsidR="00735A81">
        <w:rPr>
          <w:rFonts w:eastAsia="Times New Roman" w:cs="Times New Roman"/>
          <w:sz w:val="24"/>
          <w:szCs w:val="24"/>
        </w:rPr>
        <w:t>s</w:t>
      </w:r>
      <w:r w:rsidR="626109BA" w:rsidRPr="00493755">
        <w:rPr>
          <w:rFonts w:eastAsia="Times New Roman" w:cs="Times New Roman"/>
          <w:sz w:val="24"/>
          <w:szCs w:val="24"/>
        </w:rPr>
        <w:t xml:space="preserve">. </w:t>
      </w:r>
      <w:r w:rsidR="00735A81">
        <w:rPr>
          <w:rFonts w:eastAsia="Times New Roman" w:cs="Times New Roman"/>
          <w:sz w:val="24"/>
          <w:szCs w:val="24"/>
        </w:rPr>
        <w:t xml:space="preserve">Katram projektēšanas posmam ir savi iemesli darbu kavējumam, taču vairāki apstākļi ir kopīgi. Jāatzīmē, ka Spānijas projektēšanas uzņēmums IDOM, kurš darbu (ar partneriem) veic trijās Latvijas pamata trases sekcijās (tostarp, posmā cauri Rīgai, kas ir īpaši sarežģīts), </w:t>
      </w:r>
      <w:r w:rsidR="0097319B">
        <w:rPr>
          <w:rFonts w:eastAsia="Times New Roman" w:cs="Times New Roman"/>
          <w:sz w:val="24"/>
          <w:szCs w:val="24"/>
        </w:rPr>
        <w:t xml:space="preserve">nav spējīgs pilnvērtīgi pildīt saistības. Tā kā šis uzņēmums strādā arī Lietuvas un Igaunijas atsevišķos pamata trases posmos, tam ir Rail Baltica projektā ir jānodrošina ievērojama projektēšanas kapacitāte. Situācijas novērtējums, ko ir veicis </w:t>
      </w:r>
      <w:r w:rsidR="004B4114" w:rsidRPr="004B4114">
        <w:rPr>
          <w:rFonts w:eastAsia="Times New Roman" w:cs="Times New Roman"/>
          <w:sz w:val="24"/>
          <w:szCs w:val="24"/>
        </w:rPr>
        <w:t>kopuzņēmums “RB Rail” AS (turpmāk – RBR)</w:t>
      </w:r>
      <w:r w:rsidR="0097319B">
        <w:rPr>
          <w:rFonts w:eastAsia="Times New Roman" w:cs="Times New Roman"/>
          <w:sz w:val="24"/>
          <w:szCs w:val="24"/>
        </w:rPr>
        <w:t xml:space="preserve">, liecina, ka IDOM pamata trases iepirkumos ir iesniedzis pazeminātus izmaksu piedāvājumus, kas neatbilst Rail Baltica projekta sarežģītībai un Baltijas valstu būvniecības procesa juridiskajam un institucionālajam ietvaram. Tas nozīmē, ka IDOM nav paredzējis pietiekamus finanšu resursus efektīvai un termiņiem atbilstošai līgumu saistību izpildei, kas šobrīd ir radījis krīzi projektēšanas procesā, kas tiek aktīvi risināta. </w:t>
      </w:r>
      <w:r w:rsidR="00E05E0B">
        <w:rPr>
          <w:rFonts w:eastAsia="Times New Roman" w:cs="Times New Roman"/>
          <w:sz w:val="24"/>
          <w:szCs w:val="24"/>
        </w:rPr>
        <w:t xml:space="preserve">Kopējā Baltijas valstu nostāja ir, ka </w:t>
      </w:r>
      <w:r w:rsidR="004B4114">
        <w:rPr>
          <w:rFonts w:eastAsia="Times New Roman" w:cs="Times New Roman"/>
          <w:sz w:val="24"/>
          <w:szCs w:val="24"/>
        </w:rPr>
        <w:t>RBR</w:t>
      </w:r>
      <w:r w:rsidR="00E05E0B">
        <w:rPr>
          <w:rFonts w:eastAsia="Times New Roman" w:cs="Times New Roman"/>
          <w:sz w:val="24"/>
          <w:szCs w:val="24"/>
        </w:rPr>
        <w:t xml:space="preserve"> ir jācenšas vienoties ar IDOM par darba </w:t>
      </w:r>
      <w:proofErr w:type="spellStart"/>
      <w:r w:rsidR="00E05E0B">
        <w:rPr>
          <w:rFonts w:eastAsia="Times New Roman" w:cs="Times New Roman"/>
          <w:sz w:val="24"/>
          <w:szCs w:val="24"/>
        </w:rPr>
        <w:t>efektivizāciju</w:t>
      </w:r>
      <w:proofErr w:type="spellEnd"/>
      <w:r w:rsidR="00E05E0B">
        <w:rPr>
          <w:rFonts w:eastAsia="Times New Roman" w:cs="Times New Roman"/>
          <w:sz w:val="24"/>
          <w:szCs w:val="24"/>
        </w:rPr>
        <w:t xml:space="preserve">, jauna darbu grafika saskaņošanu un papildus vietējā resursa mobilizēšanu, kas sniegtu </w:t>
      </w:r>
      <w:r w:rsidR="004B4114">
        <w:rPr>
          <w:rFonts w:eastAsia="Times New Roman" w:cs="Times New Roman"/>
          <w:sz w:val="24"/>
          <w:szCs w:val="24"/>
        </w:rPr>
        <w:t xml:space="preserve">spāņu projektētājiem </w:t>
      </w:r>
      <w:r w:rsidR="00E05E0B">
        <w:rPr>
          <w:rFonts w:eastAsia="Times New Roman" w:cs="Times New Roman"/>
          <w:sz w:val="24"/>
          <w:szCs w:val="24"/>
        </w:rPr>
        <w:t>atbalstu darbā ar skartajām trešajām pusēm</w:t>
      </w:r>
      <w:r w:rsidR="004B4114">
        <w:rPr>
          <w:rFonts w:eastAsia="Times New Roman" w:cs="Times New Roman"/>
          <w:sz w:val="24"/>
          <w:szCs w:val="24"/>
        </w:rPr>
        <w:t xml:space="preserve"> (pašvaldībām, infrastruktūras īpašniekiem, privātpersonām)</w:t>
      </w:r>
      <w:r w:rsidR="00E05E0B">
        <w:rPr>
          <w:rFonts w:eastAsia="Times New Roman" w:cs="Times New Roman"/>
          <w:sz w:val="24"/>
          <w:szCs w:val="24"/>
        </w:rPr>
        <w:t xml:space="preserve">, lai iegūtu būvprojekta risinājumu saskaņojumus. Šī nostāja saistīta ar to, ka atkārtotā iepirkumā tiktu sniegti augstāki izmaksu piedāvājumi, kā arī tas būtiski novirzītu </w:t>
      </w:r>
      <w:r w:rsidR="00322E5F">
        <w:rPr>
          <w:rFonts w:eastAsia="Times New Roman" w:cs="Times New Roman"/>
          <w:sz w:val="24"/>
          <w:szCs w:val="24"/>
        </w:rPr>
        <w:t xml:space="preserve">Projekta </w:t>
      </w:r>
      <w:r w:rsidR="00E05E0B">
        <w:rPr>
          <w:rFonts w:eastAsia="Times New Roman" w:cs="Times New Roman"/>
          <w:sz w:val="24"/>
          <w:szCs w:val="24"/>
        </w:rPr>
        <w:t>ieviešanas grafiku. Papildus jāatzīmē</w:t>
      </w:r>
      <w:r w:rsidR="00322E5F">
        <w:rPr>
          <w:rFonts w:eastAsia="Times New Roman" w:cs="Times New Roman"/>
          <w:sz w:val="24"/>
          <w:szCs w:val="24"/>
        </w:rPr>
        <w:t>, ka vērtējot</w:t>
      </w:r>
      <w:r w:rsidR="0097319B">
        <w:rPr>
          <w:rFonts w:eastAsia="Times New Roman" w:cs="Times New Roman"/>
          <w:sz w:val="24"/>
          <w:szCs w:val="24"/>
        </w:rPr>
        <w:t xml:space="preserve"> </w:t>
      </w:r>
      <w:r w:rsidR="00322E5F">
        <w:rPr>
          <w:rFonts w:eastAsia="Times New Roman" w:cs="Times New Roman"/>
          <w:sz w:val="24"/>
          <w:szCs w:val="24"/>
        </w:rPr>
        <w:t>k</w:t>
      </w:r>
      <w:r w:rsidR="626109BA" w:rsidRPr="00493755">
        <w:rPr>
          <w:rFonts w:eastAsia="Times New Roman" w:cs="Times New Roman"/>
          <w:sz w:val="24"/>
          <w:szCs w:val="24"/>
        </w:rPr>
        <w:t>avējum</w:t>
      </w:r>
      <w:r w:rsidR="00322E5F">
        <w:rPr>
          <w:rFonts w:eastAsia="Times New Roman" w:cs="Times New Roman"/>
          <w:sz w:val="24"/>
          <w:szCs w:val="24"/>
        </w:rPr>
        <w:t>us</w:t>
      </w:r>
      <w:r w:rsidR="626109BA" w:rsidRPr="00493755">
        <w:rPr>
          <w:rFonts w:eastAsia="Times New Roman" w:cs="Times New Roman"/>
          <w:sz w:val="24"/>
          <w:szCs w:val="24"/>
        </w:rPr>
        <w:t xml:space="preserve"> </w:t>
      </w:r>
      <w:r w:rsidR="00322E5F">
        <w:rPr>
          <w:rFonts w:eastAsia="Times New Roman" w:cs="Times New Roman"/>
          <w:sz w:val="24"/>
          <w:szCs w:val="24"/>
        </w:rPr>
        <w:t xml:space="preserve">jāņem vērā, ka tos ietekmē arī </w:t>
      </w:r>
      <w:r w:rsidR="4702F2F6" w:rsidRPr="00493755">
        <w:rPr>
          <w:rFonts w:eastAsia="Times New Roman" w:cs="Times New Roman"/>
          <w:sz w:val="24"/>
          <w:szCs w:val="24"/>
        </w:rPr>
        <w:t>novēlot</w:t>
      </w:r>
      <w:r w:rsidR="00322E5F">
        <w:rPr>
          <w:rFonts w:eastAsia="Times New Roman" w:cs="Times New Roman"/>
          <w:sz w:val="24"/>
          <w:szCs w:val="24"/>
        </w:rPr>
        <w:t>a</w:t>
      </w:r>
      <w:r w:rsidR="4702F2F6" w:rsidRPr="00493755">
        <w:rPr>
          <w:rFonts w:eastAsia="Times New Roman" w:cs="Times New Roman"/>
          <w:sz w:val="24"/>
          <w:szCs w:val="24"/>
        </w:rPr>
        <w:t xml:space="preserve"> </w:t>
      </w:r>
      <w:r w:rsidR="000E730C" w:rsidRPr="00493755">
        <w:rPr>
          <w:rFonts w:eastAsia="Times New Roman" w:cs="Times New Roman"/>
          <w:sz w:val="24"/>
          <w:szCs w:val="24"/>
        </w:rPr>
        <w:t>treš</w:t>
      </w:r>
      <w:r w:rsidR="00273FB6" w:rsidRPr="00493755">
        <w:rPr>
          <w:rFonts w:eastAsia="Times New Roman" w:cs="Times New Roman"/>
          <w:sz w:val="24"/>
          <w:szCs w:val="24"/>
        </w:rPr>
        <w:t xml:space="preserve">o pušu, </w:t>
      </w:r>
      <w:r w:rsidR="00273FB6" w:rsidRPr="00493755">
        <w:rPr>
          <w:rFonts w:eastAsia="Times New Roman" w:cs="Times New Roman"/>
          <w:sz w:val="24"/>
          <w:szCs w:val="24"/>
        </w:rPr>
        <w:lastRenderedPageBreak/>
        <w:t xml:space="preserve">tostarp pašvaldību, </w:t>
      </w:r>
      <w:r w:rsidR="64AC71D2" w:rsidRPr="00493755">
        <w:rPr>
          <w:rFonts w:eastAsia="Times New Roman" w:cs="Times New Roman"/>
          <w:sz w:val="24"/>
          <w:szCs w:val="24"/>
        </w:rPr>
        <w:t>tehnisko noteikumu izsniegšan</w:t>
      </w:r>
      <w:r w:rsidR="00322E5F">
        <w:rPr>
          <w:rFonts w:eastAsia="Times New Roman" w:cs="Times New Roman"/>
          <w:sz w:val="24"/>
          <w:szCs w:val="24"/>
        </w:rPr>
        <w:t>a</w:t>
      </w:r>
      <w:r w:rsidR="64AC71D2" w:rsidRPr="00493755">
        <w:rPr>
          <w:rFonts w:eastAsia="Times New Roman" w:cs="Times New Roman"/>
          <w:sz w:val="24"/>
          <w:szCs w:val="24"/>
        </w:rPr>
        <w:t xml:space="preserve">, </w:t>
      </w:r>
      <w:r w:rsidR="16ADB9F8" w:rsidRPr="00493755">
        <w:rPr>
          <w:rFonts w:eastAsia="Times New Roman" w:cs="Times New Roman"/>
          <w:sz w:val="24"/>
          <w:szCs w:val="24"/>
        </w:rPr>
        <w:t>ar Projektu nesaistītu prasību iekļaušan</w:t>
      </w:r>
      <w:r w:rsidR="00322E5F">
        <w:rPr>
          <w:rFonts w:eastAsia="Times New Roman" w:cs="Times New Roman"/>
          <w:sz w:val="24"/>
          <w:szCs w:val="24"/>
        </w:rPr>
        <w:t>a</w:t>
      </w:r>
      <w:r w:rsidR="56A4CA89" w:rsidRPr="00493755">
        <w:rPr>
          <w:rFonts w:eastAsia="Times New Roman" w:cs="Times New Roman"/>
          <w:sz w:val="24"/>
          <w:szCs w:val="24"/>
        </w:rPr>
        <w:t xml:space="preserve"> tehniskajos noteikumos, zemes </w:t>
      </w:r>
      <w:r w:rsidR="05EDBB4F" w:rsidRPr="00493755">
        <w:rPr>
          <w:rFonts w:eastAsia="Times New Roman" w:cs="Times New Roman"/>
          <w:sz w:val="24"/>
          <w:szCs w:val="24"/>
        </w:rPr>
        <w:t>īpašnieku pretestīb</w:t>
      </w:r>
      <w:r w:rsidR="00322E5F">
        <w:rPr>
          <w:rFonts w:eastAsia="Times New Roman" w:cs="Times New Roman"/>
          <w:sz w:val="24"/>
          <w:szCs w:val="24"/>
        </w:rPr>
        <w:t>a</w:t>
      </w:r>
      <w:r w:rsidR="05EDBB4F" w:rsidRPr="00493755">
        <w:rPr>
          <w:rFonts w:eastAsia="Times New Roman" w:cs="Times New Roman"/>
          <w:sz w:val="24"/>
          <w:szCs w:val="24"/>
        </w:rPr>
        <w:t xml:space="preserve"> ģeodēzisko darbu veikšanai </w:t>
      </w:r>
      <w:r w:rsidR="3BA2CCAA" w:rsidRPr="00493755">
        <w:rPr>
          <w:rFonts w:eastAsia="Times New Roman" w:cs="Times New Roman"/>
          <w:sz w:val="24"/>
          <w:szCs w:val="24"/>
        </w:rPr>
        <w:t xml:space="preserve">un COVID-19 </w:t>
      </w:r>
      <w:r w:rsidR="28535D7C" w:rsidRPr="00493755">
        <w:rPr>
          <w:rFonts w:eastAsia="Times New Roman" w:cs="Times New Roman"/>
          <w:sz w:val="24"/>
          <w:szCs w:val="24"/>
        </w:rPr>
        <w:t>pandēmiju.</w:t>
      </w:r>
      <w:r w:rsidR="0017386C" w:rsidRPr="00493755">
        <w:rPr>
          <w:rFonts w:eastAsia="Times New Roman" w:cs="Times New Roman"/>
          <w:sz w:val="24"/>
          <w:szCs w:val="24"/>
        </w:rPr>
        <w:t xml:space="preserve"> Runājot par tehnisko noteikumu izsniegšanu</w:t>
      </w:r>
      <w:r w:rsidR="00E05D27" w:rsidRPr="00493755">
        <w:rPr>
          <w:rFonts w:eastAsia="Times New Roman" w:cs="Times New Roman"/>
          <w:sz w:val="24"/>
          <w:szCs w:val="24"/>
        </w:rPr>
        <w:t>,</w:t>
      </w:r>
      <w:r w:rsidR="00322E5F">
        <w:rPr>
          <w:rFonts w:eastAsia="Times New Roman" w:cs="Times New Roman"/>
          <w:sz w:val="24"/>
          <w:szCs w:val="24"/>
        </w:rPr>
        <w:t xml:space="preserve"> jāvērš uzmanība, ka</w:t>
      </w:r>
      <w:r w:rsidR="00E05D27" w:rsidRPr="00493755">
        <w:rPr>
          <w:rFonts w:eastAsia="Times New Roman" w:cs="Times New Roman"/>
          <w:sz w:val="24"/>
          <w:szCs w:val="24"/>
        </w:rPr>
        <w:t xml:space="preserve"> Rīgas pilsēta tehnisko noteikumu izsniegšanu kavē jau gadu</w:t>
      </w:r>
      <w:r w:rsidR="00322E5F">
        <w:rPr>
          <w:rFonts w:eastAsia="Times New Roman" w:cs="Times New Roman"/>
          <w:sz w:val="24"/>
          <w:szCs w:val="24"/>
        </w:rPr>
        <w:t>,</w:t>
      </w:r>
      <w:r w:rsidR="00760898" w:rsidRPr="00493755">
        <w:rPr>
          <w:rFonts w:eastAsia="Times New Roman" w:cs="Times New Roman"/>
          <w:sz w:val="24"/>
          <w:szCs w:val="24"/>
        </w:rPr>
        <w:t xml:space="preserve"> neskatoties uz </w:t>
      </w:r>
      <w:r w:rsidR="00C6433A" w:rsidRPr="00493755">
        <w:rPr>
          <w:rFonts w:eastAsia="Times New Roman" w:cs="Times New Roman"/>
          <w:sz w:val="24"/>
          <w:szCs w:val="24"/>
        </w:rPr>
        <w:t>vairākkārtējam</w:t>
      </w:r>
      <w:r w:rsidR="00760898" w:rsidRPr="00493755">
        <w:rPr>
          <w:rFonts w:eastAsia="Times New Roman" w:cs="Times New Roman"/>
          <w:sz w:val="24"/>
          <w:szCs w:val="24"/>
        </w:rPr>
        <w:t xml:space="preserve"> </w:t>
      </w:r>
      <w:r w:rsidR="00C6433A" w:rsidRPr="00493755">
        <w:rPr>
          <w:rFonts w:eastAsia="Times New Roman" w:cs="Times New Roman"/>
          <w:sz w:val="24"/>
          <w:szCs w:val="24"/>
        </w:rPr>
        <w:t xml:space="preserve">Satiksmes ministrijas (turpmāk </w:t>
      </w:r>
      <w:r w:rsidR="00E239AD" w:rsidRPr="00493755">
        <w:rPr>
          <w:rFonts w:eastAsia="Times New Roman" w:cs="Times New Roman"/>
          <w:sz w:val="24"/>
          <w:szCs w:val="24"/>
        </w:rPr>
        <w:t xml:space="preserve">– Ministrija) organizētām sanāksmēm, tostarp sanāksmēm ar </w:t>
      </w:r>
      <w:r w:rsidR="00986D37" w:rsidRPr="00493755">
        <w:rPr>
          <w:rFonts w:eastAsia="Times New Roman" w:cs="Times New Roman"/>
          <w:sz w:val="24"/>
          <w:szCs w:val="24"/>
        </w:rPr>
        <w:t xml:space="preserve">Rīgas domes </w:t>
      </w:r>
      <w:r w:rsidR="00986D37" w:rsidRPr="008961CF">
        <w:rPr>
          <w:rFonts w:eastAsia="Times New Roman" w:cs="Times New Roman"/>
          <w:sz w:val="24"/>
          <w:szCs w:val="24"/>
        </w:rPr>
        <w:t>vadību.</w:t>
      </w:r>
      <w:r w:rsidR="00720BD6" w:rsidRPr="008961CF">
        <w:rPr>
          <w:rFonts w:eastAsia="Times New Roman" w:cs="Times New Roman"/>
          <w:sz w:val="24"/>
          <w:szCs w:val="24"/>
        </w:rPr>
        <w:t xml:space="preserve"> </w:t>
      </w:r>
      <w:r w:rsidR="00943614" w:rsidRPr="008961CF">
        <w:rPr>
          <w:rFonts w:eastAsia="Times New Roman" w:cs="Times New Roman"/>
          <w:sz w:val="24"/>
          <w:szCs w:val="24"/>
        </w:rPr>
        <w:t xml:space="preserve">Ministrija </w:t>
      </w:r>
      <w:r w:rsidR="00B53D50" w:rsidRPr="008961CF">
        <w:rPr>
          <w:rFonts w:eastAsia="Times New Roman" w:cs="Times New Roman"/>
          <w:sz w:val="24"/>
          <w:szCs w:val="24"/>
        </w:rPr>
        <w:t xml:space="preserve">Projekta īstenošanas veicināšanai </w:t>
      </w:r>
      <w:r w:rsidR="004D44ED" w:rsidRPr="008961CF">
        <w:rPr>
          <w:rFonts w:eastAsia="Times New Roman" w:cs="Times New Roman"/>
          <w:sz w:val="24"/>
          <w:szCs w:val="24"/>
        </w:rPr>
        <w:t xml:space="preserve">aktīvi turpinās uzrunāt atbildīgo valsts institūciju un citu iesaistīto pušu vadošās personas, </w:t>
      </w:r>
      <w:r w:rsidR="00943614" w:rsidRPr="008961CF">
        <w:rPr>
          <w:rFonts w:eastAsia="Times New Roman" w:cs="Times New Roman"/>
          <w:sz w:val="24"/>
          <w:szCs w:val="24"/>
        </w:rPr>
        <w:t>rosin</w:t>
      </w:r>
      <w:r w:rsidR="004D44ED" w:rsidRPr="008961CF">
        <w:rPr>
          <w:rFonts w:eastAsia="Times New Roman" w:cs="Times New Roman"/>
          <w:sz w:val="24"/>
          <w:szCs w:val="24"/>
        </w:rPr>
        <w:t xml:space="preserve">ot </w:t>
      </w:r>
      <w:proofErr w:type="spellStart"/>
      <w:r w:rsidR="004D44ED" w:rsidRPr="008961CF">
        <w:rPr>
          <w:rFonts w:eastAsia="Times New Roman" w:cs="Times New Roman"/>
          <w:sz w:val="24"/>
          <w:szCs w:val="24"/>
        </w:rPr>
        <w:t>prior</w:t>
      </w:r>
      <w:r w:rsidR="00226AD7" w:rsidRPr="008961CF">
        <w:rPr>
          <w:rFonts w:eastAsia="Times New Roman" w:cs="Times New Roman"/>
          <w:sz w:val="24"/>
          <w:szCs w:val="24"/>
        </w:rPr>
        <w:t>i</w:t>
      </w:r>
      <w:r w:rsidR="004D44ED" w:rsidRPr="008961CF">
        <w:rPr>
          <w:rFonts w:eastAsia="Times New Roman" w:cs="Times New Roman"/>
          <w:sz w:val="24"/>
          <w:szCs w:val="24"/>
        </w:rPr>
        <w:t>tizēt</w:t>
      </w:r>
      <w:proofErr w:type="spellEnd"/>
      <w:r w:rsidR="004D44ED" w:rsidRPr="008961CF">
        <w:rPr>
          <w:rFonts w:eastAsia="Times New Roman" w:cs="Times New Roman"/>
          <w:sz w:val="24"/>
          <w:szCs w:val="24"/>
        </w:rPr>
        <w:t xml:space="preserve"> Projekta ietvaros veicamos uzdevumus un laicīgi nodrošinot attiecīgu administratīvo kapacitāti. Īpašos gadījumos var tikt</w:t>
      </w:r>
      <w:r w:rsidR="00943614" w:rsidRPr="008961CF">
        <w:rPr>
          <w:rFonts w:eastAsia="Times New Roman" w:cs="Times New Roman"/>
          <w:sz w:val="24"/>
          <w:szCs w:val="24"/>
        </w:rPr>
        <w:t xml:space="preserve"> veidot</w:t>
      </w:r>
      <w:r w:rsidR="004D44ED" w:rsidRPr="008961CF">
        <w:rPr>
          <w:rFonts w:eastAsia="Times New Roman" w:cs="Times New Roman"/>
          <w:sz w:val="24"/>
          <w:szCs w:val="24"/>
        </w:rPr>
        <w:t>a</w:t>
      </w:r>
      <w:r w:rsidR="00943614" w:rsidRPr="008961CF">
        <w:rPr>
          <w:rFonts w:eastAsia="Times New Roman" w:cs="Times New Roman"/>
          <w:sz w:val="24"/>
          <w:szCs w:val="24"/>
        </w:rPr>
        <w:t xml:space="preserve"> starpinstitūciju </w:t>
      </w:r>
      <w:r w:rsidR="00934157" w:rsidRPr="008961CF">
        <w:rPr>
          <w:rFonts w:eastAsia="Times New Roman" w:cs="Times New Roman"/>
          <w:sz w:val="24"/>
          <w:szCs w:val="24"/>
        </w:rPr>
        <w:t>darba grup</w:t>
      </w:r>
      <w:r w:rsidR="004D44ED" w:rsidRPr="008961CF">
        <w:rPr>
          <w:rFonts w:eastAsia="Times New Roman" w:cs="Times New Roman"/>
          <w:sz w:val="24"/>
          <w:szCs w:val="24"/>
        </w:rPr>
        <w:t>a, piemēram, šobrīd rit sarunas, lai veidotu darba grup</w:t>
      </w:r>
      <w:r w:rsidR="00226AD7" w:rsidRPr="008961CF">
        <w:rPr>
          <w:rFonts w:eastAsia="Times New Roman" w:cs="Times New Roman"/>
          <w:sz w:val="24"/>
          <w:szCs w:val="24"/>
        </w:rPr>
        <w:t>u</w:t>
      </w:r>
      <w:r w:rsidR="004D44ED" w:rsidRPr="008961CF">
        <w:rPr>
          <w:rFonts w:eastAsia="Times New Roman" w:cs="Times New Roman"/>
          <w:sz w:val="24"/>
          <w:szCs w:val="24"/>
        </w:rPr>
        <w:t xml:space="preserve"> ar uzdevumu </w:t>
      </w:r>
      <w:r w:rsidR="00215711" w:rsidRPr="008961CF">
        <w:rPr>
          <w:rFonts w:eastAsia="Times New Roman" w:cs="Times New Roman"/>
          <w:sz w:val="24"/>
          <w:szCs w:val="24"/>
        </w:rPr>
        <w:t>uzraudzītu</w:t>
      </w:r>
      <w:r w:rsidR="004D44ED" w:rsidRPr="008961CF">
        <w:rPr>
          <w:rFonts w:eastAsia="Times New Roman" w:cs="Times New Roman"/>
          <w:sz w:val="24"/>
          <w:szCs w:val="24"/>
        </w:rPr>
        <w:t xml:space="preserve"> Projekta ietvaros veidojamās infrastruktūras ekonomis</w:t>
      </w:r>
      <w:r w:rsidR="00215711" w:rsidRPr="008961CF">
        <w:rPr>
          <w:rFonts w:eastAsia="Times New Roman" w:cs="Times New Roman"/>
          <w:sz w:val="24"/>
          <w:szCs w:val="24"/>
        </w:rPr>
        <w:t>kumu (lietderību)</w:t>
      </w:r>
      <w:r w:rsidR="004D44ED" w:rsidRPr="008961CF">
        <w:rPr>
          <w:rFonts w:eastAsia="Times New Roman" w:cs="Times New Roman"/>
          <w:sz w:val="24"/>
          <w:szCs w:val="24"/>
        </w:rPr>
        <w:t xml:space="preserve"> un nākotnes uzturēšanas nosacījumus. </w:t>
      </w:r>
      <w:r w:rsidR="00854E7B" w:rsidRPr="008961CF">
        <w:rPr>
          <w:rFonts w:eastAsia="Times New Roman" w:cs="Times New Roman"/>
          <w:sz w:val="24"/>
          <w:szCs w:val="24"/>
        </w:rPr>
        <w:t xml:space="preserve">Paralēli tiek risināts jautājums </w:t>
      </w:r>
      <w:r w:rsidR="00C07F3E" w:rsidRPr="008961CF">
        <w:rPr>
          <w:rFonts w:eastAsia="Times New Roman" w:cs="Times New Roman"/>
          <w:sz w:val="24"/>
          <w:szCs w:val="24"/>
        </w:rPr>
        <w:t>par finansēšanas līgumu termiņu pagarinājumu</w:t>
      </w:r>
      <w:r w:rsidR="00215711" w:rsidRPr="008961CF">
        <w:rPr>
          <w:rFonts w:eastAsia="Times New Roman" w:cs="Times New Roman"/>
          <w:sz w:val="24"/>
          <w:szCs w:val="24"/>
        </w:rPr>
        <w:t>, lai</w:t>
      </w:r>
      <w:r w:rsidR="00215711">
        <w:rPr>
          <w:rFonts w:eastAsia="Times New Roman" w:cs="Times New Roman"/>
          <w:sz w:val="24"/>
          <w:szCs w:val="24"/>
        </w:rPr>
        <w:t xml:space="preserve"> kavējumu dēļ nebūtu apdraudēts piešķirtais ES finansējums</w:t>
      </w:r>
      <w:r w:rsidR="00C07F3E" w:rsidRPr="00493755">
        <w:rPr>
          <w:rFonts w:eastAsia="Times New Roman" w:cs="Times New Roman"/>
          <w:sz w:val="24"/>
          <w:szCs w:val="24"/>
        </w:rPr>
        <w:t>.</w:t>
      </w:r>
      <w:r w:rsidR="28535D7C" w:rsidRPr="00493755">
        <w:rPr>
          <w:rFonts w:eastAsia="Times New Roman" w:cs="Times New Roman"/>
          <w:sz w:val="24"/>
          <w:szCs w:val="24"/>
        </w:rPr>
        <w:t xml:space="preserve"> </w:t>
      </w:r>
    </w:p>
    <w:p w14:paraId="258610B5" w14:textId="0114FE53" w:rsidR="00185A3B" w:rsidRPr="00493755" w:rsidRDefault="131C2596" w:rsidP="00350A39">
      <w:pPr>
        <w:spacing w:after="0" w:line="240" w:lineRule="auto"/>
        <w:ind w:firstLine="720"/>
        <w:jc w:val="both"/>
        <w:rPr>
          <w:rFonts w:eastAsia="Times New Roman" w:cs="Times New Roman"/>
          <w:sz w:val="24"/>
          <w:szCs w:val="24"/>
        </w:rPr>
      </w:pPr>
      <w:r w:rsidRPr="00493755">
        <w:rPr>
          <w:rFonts w:eastAsia="Times New Roman" w:cs="Times New Roman"/>
          <w:sz w:val="24"/>
          <w:szCs w:val="24"/>
        </w:rPr>
        <w:t xml:space="preserve">Ministrija ir noteikusi </w:t>
      </w:r>
      <w:r w:rsidR="1E68968A" w:rsidRPr="00493755">
        <w:rPr>
          <w:rFonts w:eastAsia="Times New Roman" w:cs="Times New Roman"/>
          <w:sz w:val="24"/>
          <w:szCs w:val="24"/>
        </w:rPr>
        <w:t xml:space="preserve">prioritārās </w:t>
      </w:r>
      <w:r w:rsidR="43AD70C6" w:rsidRPr="00493755">
        <w:rPr>
          <w:rFonts w:eastAsia="Times New Roman" w:cs="Times New Roman"/>
          <w:sz w:val="24"/>
          <w:szCs w:val="24"/>
        </w:rPr>
        <w:t xml:space="preserve">Rail Baltica līnijas </w:t>
      </w:r>
      <w:r w:rsidR="1E68968A" w:rsidRPr="00493755">
        <w:rPr>
          <w:rFonts w:eastAsia="Times New Roman" w:cs="Times New Roman"/>
          <w:sz w:val="24"/>
          <w:szCs w:val="24"/>
        </w:rPr>
        <w:t>sekcijas</w:t>
      </w:r>
      <w:r w:rsidR="170EBCE4" w:rsidRPr="00493755">
        <w:rPr>
          <w:rFonts w:eastAsia="Times New Roman" w:cs="Times New Roman"/>
          <w:sz w:val="24"/>
          <w:szCs w:val="24"/>
        </w:rPr>
        <w:t xml:space="preserve">: </w:t>
      </w:r>
      <w:r w:rsidR="1E68968A" w:rsidRPr="00493755">
        <w:rPr>
          <w:rFonts w:eastAsia="Times New Roman" w:cs="Times New Roman"/>
          <w:sz w:val="24"/>
          <w:szCs w:val="24"/>
        </w:rPr>
        <w:t xml:space="preserve">Misa – Lietuvas robeža, </w:t>
      </w:r>
      <w:r w:rsidR="209167FC" w:rsidRPr="00493755">
        <w:rPr>
          <w:rFonts w:eastAsia="Times New Roman" w:cs="Times New Roman"/>
          <w:sz w:val="24"/>
          <w:szCs w:val="24"/>
        </w:rPr>
        <w:t xml:space="preserve">starptautiskā lidosta </w:t>
      </w:r>
      <w:r w:rsidR="2BDD2AC2" w:rsidRPr="00493755">
        <w:rPr>
          <w:rFonts w:eastAsia="Times New Roman" w:cs="Times New Roman"/>
          <w:sz w:val="24"/>
          <w:szCs w:val="24"/>
        </w:rPr>
        <w:t xml:space="preserve">“Rīga” </w:t>
      </w:r>
      <w:r w:rsidR="170EBCE4" w:rsidRPr="00493755">
        <w:rPr>
          <w:rFonts w:eastAsia="Times New Roman" w:cs="Times New Roman"/>
          <w:sz w:val="24"/>
          <w:szCs w:val="24"/>
        </w:rPr>
        <w:t xml:space="preserve">– Misa </w:t>
      </w:r>
      <w:r w:rsidR="3E8085F1" w:rsidRPr="00493755">
        <w:rPr>
          <w:rFonts w:eastAsia="Times New Roman" w:cs="Times New Roman"/>
          <w:sz w:val="24"/>
          <w:szCs w:val="24"/>
        </w:rPr>
        <w:t xml:space="preserve">un </w:t>
      </w:r>
      <w:bookmarkStart w:id="1" w:name="_Hlk96011993"/>
      <w:r w:rsidR="3E8085F1" w:rsidRPr="00493755">
        <w:rPr>
          <w:rFonts w:eastAsia="Times New Roman" w:cs="Times New Roman"/>
          <w:sz w:val="24"/>
          <w:szCs w:val="24"/>
        </w:rPr>
        <w:t>Misa – Vangaži</w:t>
      </w:r>
      <w:r w:rsidR="004A42E5" w:rsidRPr="00493755">
        <w:rPr>
          <w:rFonts w:eastAsia="Times New Roman" w:cs="Times New Roman"/>
          <w:sz w:val="24"/>
          <w:szCs w:val="24"/>
        </w:rPr>
        <w:t>,</w:t>
      </w:r>
      <w:r w:rsidR="3E8085F1" w:rsidRPr="00493755">
        <w:rPr>
          <w:rFonts w:eastAsia="Times New Roman" w:cs="Times New Roman"/>
          <w:sz w:val="24"/>
          <w:szCs w:val="24"/>
        </w:rPr>
        <w:t xml:space="preserve"> </w:t>
      </w:r>
      <w:bookmarkEnd w:id="1"/>
      <w:r w:rsidR="5C040A43" w:rsidRPr="00493755">
        <w:rPr>
          <w:rFonts w:eastAsia="Times New Roman" w:cs="Times New Roman"/>
          <w:sz w:val="24"/>
          <w:szCs w:val="24"/>
        </w:rPr>
        <w:t xml:space="preserve">rūpīgi sekojot </w:t>
      </w:r>
      <w:r w:rsidR="43A990CD" w:rsidRPr="00493755">
        <w:rPr>
          <w:rFonts w:eastAsia="Times New Roman" w:cs="Times New Roman"/>
          <w:sz w:val="24"/>
          <w:szCs w:val="24"/>
        </w:rPr>
        <w:t xml:space="preserve">minēto posmu projektēšanas gaitai. </w:t>
      </w:r>
      <w:r w:rsidR="00215711">
        <w:rPr>
          <w:rFonts w:eastAsia="Times New Roman" w:cs="Times New Roman"/>
          <w:sz w:val="24"/>
          <w:szCs w:val="24"/>
        </w:rPr>
        <w:t xml:space="preserve">Savukārt </w:t>
      </w:r>
      <w:r w:rsidR="004B4114">
        <w:rPr>
          <w:rFonts w:eastAsia="Times New Roman" w:cs="Times New Roman"/>
          <w:sz w:val="24"/>
          <w:szCs w:val="24"/>
        </w:rPr>
        <w:t xml:space="preserve">RBR </w:t>
      </w:r>
      <w:r w:rsidR="00215711">
        <w:rPr>
          <w:rFonts w:eastAsia="Times New Roman" w:cs="Times New Roman"/>
          <w:sz w:val="24"/>
          <w:szCs w:val="24"/>
        </w:rPr>
        <w:t>šo prioritāti</w:t>
      </w:r>
      <w:r w:rsidR="004B4114">
        <w:rPr>
          <w:rFonts w:eastAsia="Times New Roman" w:cs="Times New Roman"/>
          <w:sz w:val="24"/>
          <w:szCs w:val="24"/>
        </w:rPr>
        <w:t xml:space="preserve"> </w:t>
      </w:r>
      <w:r w:rsidR="00215711">
        <w:rPr>
          <w:rFonts w:eastAsia="Times New Roman" w:cs="Times New Roman"/>
          <w:sz w:val="24"/>
          <w:szCs w:val="24"/>
        </w:rPr>
        <w:t xml:space="preserve">nodrošina kā pasūtītājs darbā ar projektētājiem, liekot organizēt darbus tā, lai primāri tiktu nodrošināts progress prioritārajā pamata trases daļā. </w:t>
      </w:r>
      <w:r w:rsidR="43A990CD" w:rsidRPr="00493755">
        <w:rPr>
          <w:rFonts w:eastAsia="Times New Roman" w:cs="Times New Roman"/>
          <w:sz w:val="24"/>
          <w:szCs w:val="24"/>
        </w:rPr>
        <w:t xml:space="preserve">Posma </w:t>
      </w:r>
      <w:r w:rsidR="3ADADD50" w:rsidRPr="00493755">
        <w:rPr>
          <w:rFonts w:eastAsia="Times New Roman" w:cs="Times New Roman"/>
          <w:sz w:val="24"/>
          <w:szCs w:val="24"/>
        </w:rPr>
        <w:t xml:space="preserve">Misa – Lietuvas robeža būvniecība </w:t>
      </w:r>
      <w:r w:rsidR="00506B5B" w:rsidRPr="00493755">
        <w:rPr>
          <w:rFonts w:eastAsia="Times New Roman" w:cs="Times New Roman"/>
          <w:sz w:val="24"/>
          <w:szCs w:val="24"/>
        </w:rPr>
        <w:t>ir</w:t>
      </w:r>
      <w:r w:rsidR="1728E465" w:rsidRPr="00493755">
        <w:rPr>
          <w:rFonts w:eastAsia="Times New Roman" w:cs="Times New Roman"/>
          <w:sz w:val="24"/>
          <w:szCs w:val="24"/>
        </w:rPr>
        <w:t xml:space="preserve"> </w:t>
      </w:r>
      <w:r w:rsidR="3ADADD50" w:rsidRPr="00493755">
        <w:rPr>
          <w:rFonts w:eastAsia="Times New Roman" w:cs="Times New Roman"/>
          <w:sz w:val="24"/>
          <w:szCs w:val="24"/>
        </w:rPr>
        <w:t xml:space="preserve">pieteikta 2021.gada </w:t>
      </w:r>
      <w:r w:rsidR="71C32405" w:rsidRPr="00493755">
        <w:rPr>
          <w:rFonts w:eastAsia="Times New Roman" w:cs="Times New Roman"/>
          <w:sz w:val="24"/>
          <w:szCs w:val="24"/>
        </w:rPr>
        <w:t xml:space="preserve">Eiropas Infrastruktūras savienošanas instrumenta (turpmāk – CEF) </w:t>
      </w:r>
      <w:r w:rsidR="5E4B4FC7" w:rsidRPr="00493755">
        <w:rPr>
          <w:rFonts w:eastAsia="Times New Roman" w:cs="Times New Roman"/>
          <w:sz w:val="24"/>
          <w:szCs w:val="24"/>
        </w:rPr>
        <w:t xml:space="preserve">finansējuma </w:t>
      </w:r>
      <w:r w:rsidR="5EB76A09" w:rsidRPr="00493755">
        <w:rPr>
          <w:rFonts w:eastAsia="Times New Roman" w:cs="Times New Roman"/>
          <w:sz w:val="24"/>
          <w:szCs w:val="24"/>
        </w:rPr>
        <w:t>pieteikum</w:t>
      </w:r>
      <w:r w:rsidR="5E4B4FC7" w:rsidRPr="00493755">
        <w:rPr>
          <w:rFonts w:eastAsia="Times New Roman" w:cs="Times New Roman"/>
          <w:sz w:val="24"/>
          <w:szCs w:val="24"/>
        </w:rPr>
        <w:t>u</w:t>
      </w:r>
      <w:r w:rsidR="5EB76A09" w:rsidRPr="00493755">
        <w:rPr>
          <w:rFonts w:eastAsia="Times New Roman" w:cs="Times New Roman"/>
          <w:sz w:val="24"/>
          <w:szCs w:val="24"/>
        </w:rPr>
        <w:t xml:space="preserve"> uzsaukumā un tā </w:t>
      </w:r>
      <w:r w:rsidR="32A0E7C3" w:rsidRPr="00493755">
        <w:rPr>
          <w:rFonts w:eastAsia="Times New Roman" w:cs="Times New Roman"/>
          <w:sz w:val="24"/>
          <w:szCs w:val="24"/>
        </w:rPr>
        <w:t>projektēšana ir jānoslēdz 2022.</w:t>
      </w:r>
      <w:r w:rsidR="004A42E5" w:rsidRPr="00493755">
        <w:rPr>
          <w:rFonts w:eastAsia="Times New Roman" w:cs="Times New Roman"/>
          <w:sz w:val="24"/>
          <w:szCs w:val="24"/>
        </w:rPr>
        <w:t> </w:t>
      </w:r>
      <w:r w:rsidR="32A0E7C3" w:rsidRPr="00493755">
        <w:rPr>
          <w:rFonts w:eastAsia="Times New Roman" w:cs="Times New Roman"/>
          <w:sz w:val="24"/>
          <w:szCs w:val="24"/>
        </w:rPr>
        <w:t>gada 4.</w:t>
      </w:r>
      <w:r w:rsidR="004A42E5" w:rsidRPr="00493755">
        <w:rPr>
          <w:rFonts w:eastAsia="Times New Roman" w:cs="Times New Roman"/>
          <w:sz w:val="24"/>
          <w:szCs w:val="24"/>
        </w:rPr>
        <w:t> </w:t>
      </w:r>
      <w:r w:rsidR="32A0E7C3" w:rsidRPr="00493755">
        <w:rPr>
          <w:rFonts w:eastAsia="Times New Roman" w:cs="Times New Roman"/>
          <w:sz w:val="24"/>
          <w:szCs w:val="24"/>
        </w:rPr>
        <w:t xml:space="preserve">ceturksnī </w:t>
      </w:r>
      <w:r w:rsidR="4F86A159" w:rsidRPr="00493755">
        <w:rPr>
          <w:rFonts w:eastAsia="Times New Roman" w:cs="Times New Roman"/>
          <w:sz w:val="24"/>
          <w:szCs w:val="24"/>
        </w:rPr>
        <w:t>būvniecību uzsākot 2023.</w:t>
      </w:r>
      <w:r w:rsidR="004A42E5" w:rsidRPr="00493755">
        <w:rPr>
          <w:rFonts w:eastAsia="Times New Roman" w:cs="Times New Roman"/>
          <w:sz w:val="24"/>
          <w:szCs w:val="24"/>
        </w:rPr>
        <w:t> </w:t>
      </w:r>
      <w:r w:rsidR="4F86A159" w:rsidRPr="00493755">
        <w:rPr>
          <w:rFonts w:eastAsia="Times New Roman" w:cs="Times New Roman"/>
          <w:sz w:val="24"/>
          <w:szCs w:val="24"/>
        </w:rPr>
        <w:t xml:space="preserve">gadā. Posma </w:t>
      </w:r>
      <w:r w:rsidR="056F9022" w:rsidRPr="00493755">
        <w:rPr>
          <w:rFonts w:eastAsia="Times New Roman" w:cs="Times New Roman"/>
          <w:sz w:val="24"/>
          <w:szCs w:val="24"/>
        </w:rPr>
        <w:t xml:space="preserve">starptautiskā lidosta “Rīga” – Misa </w:t>
      </w:r>
      <w:r w:rsidR="0F9A0A7C" w:rsidRPr="00493755">
        <w:rPr>
          <w:rFonts w:eastAsia="Times New Roman" w:cs="Times New Roman"/>
          <w:sz w:val="24"/>
          <w:szCs w:val="24"/>
        </w:rPr>
        <w:t>būvniecība tiks pieteikta 2022</w:t>
      </w:r>
      <w:r w:rsidR="5E4B4FC7" w:rsidRPr="00493755">
        <w:rPr>
          <w:rFonts w:eastAsia="Times New Roman" w:cs="Times New Roman"/>
          <w:sz w:val="24"/>
          <w:szCs w:val="24"/>
        </w:rPr>
        <w:t>.</w:t>
      </w:r>
      <w:r w:rsidR="004A42E5" w:rsidRPr="00493755">
        <w:rPr>
          <w:rFonts w:eastAsia="Times New Roman" w:cs="Times New Roman"/>
          <w:sz w:val="24"/>
          <w:szCs w:val="24"/>
        </w:rPr>
        <w:t> </w:t>
      </w:r>
      <w:r w:rsidR="5E4B4FC7" w:rsidRPr="00493755">
        <w:rPr>
          <w:rFonts w:eastAsia="Times New Roman" w:cs="Times New Roman"/>
          <w:sz w:val="24"/>
          <w:szCs w:val="24"/>
        </w:rPr>
        <w:t xml:space="preserve">gada CEF </w:t>
      </w:r>
      <w:r w:rsidR="34550E97" w:rsidRPr="00493755">
        <w:rPr>
          <w:rFonts w:eastAsia="Times New Roman" w:cs="Times New Roman"/>
          <w:sz w:val="24"/>
          <w:szCs w:val="24"/>
        </w:rPr>
        <w:t xml:space="preserve">finansējuma pieteikumu uzsaukumā un tā </w:t>
      </w:r>
      <w:r w:rsidR="6B9072C1" w:rsidRPr="00493755">
        <w:rPr>
          <w:rFonts w:eastAsia="Times New Roman" w:cs="Times New Roman"/>
          <w:sz w:val="24"/>
          <w:szCs w:val="24"/>
        </w:rPr>
        <w:t>projektēšanai jānoslēdzas vēlākais 2023.</w:t>
      </w:r>
      <w:r w:rsidR="004A42E5" w:rsidRPr="00493755">
        <w:rPr>
          <w:rFonts w:eastAsia="Times New Roman" w:cs="Times New Roman"/>
          <w:sz w:val="24"/>
          <w:szCs w:val="24"/>
        </w:rPr>
        <w:t> </w:t>
      </w:r>
      <w:r w:rsidR="6B9072C1" w:rsidRPr="00493755">
        <w:rPr>
          <w:rFonts w:eastAsia="Times New Roman" w:cs="Times New Roman"/>
          <w:sz w:val="24"/>
          <w:szCs w:val="24"/>
        </w:rPr>
        <w:t xml:space="preserve">gada </w:t>
      </w:r>
      <w:r w:rsidR="2045D51B" w:rsidRPr="00493755">
        <w:rPr>
          <w:rFonts w:eastAsia="Times New Roman" w:cs="Times New Roman"/>
          <w:sz w:val="24"/>
          <w:szCs w:val="24"/>
        </w:rPr>
        <w:t>1.ceturksnī</w:t>
      </w:r>
      <w:r w:rsidR="4F29F518" w:rsidRPr="00493755">
        <w:rPr>
          <w:rFonts w:eastAsia="Times New Roman" w:cs="Times New Roman"/>
          <w:sz w:val="24"/>
          <w:szCs w:val="24"/>
        </w:rPr>
        <w:t>,</w:t>
      </w:r>
      <w:r w:rsidR="7BDA75F6" w:rsidRPr="00493755">
        <w:rPr>
          <w:rFonts w:eastAsia="Times New Roman" w:cs="Times New Roman"/>
          <w:sz w:val="24"/>
          <w:szCs w:val="24"/>
        </w:rPr>
        <w:t xml:space="preserve"> būvniecību uzsākot </w:t>
      </w:r>
      <w:r w:rsidR="1728E465" w:rsidRPr="00493755">
        <w:rPr>
          <w:rFonts w:eastAsia="Times New Roman" w:cs="Times New Roman"/>
          <w:sz w:val="24"/>
          <w:szCs w:val="24"/>
        </w:rPr>
        <w:t>2023.</w:t>
      </w:r>
      <w:r w:rsidR="004A42E5" w:rsidRPr="00493755">
        <w:rPr>
          <w:rFonts w:eastAsia="Times New Roman" w:cs="Times New Roman"/>
          <w:sz w:val="24"/>
          <w:szCs w:val="24"/>
        </w:rPr>
        <w:t> </w:t>
      </w:r>
      <w:r w:rsidR="1728E465" w:rsidRPr="00493755">
        <w:rPr>
          <w:rFonts w:eastAsia="Times New Roman" w:cs="Times New Roman"/>
          <w:sz w:val="24"/>
          <w:szCs w:val="24"/>
        </w:rPr>
        <w:t xml:space="preserve">gada </w:t>
      </w:r>
      <w:r w:rsidR="0AD421E8" w:rsidRPr="00493755">
        <w:rPr>
          <w:rFonts w:eastAsia="Times New Roman" w:cs="Times New Roman"/>
          <w:sz w:val="24"/>
          <w:szCs w:val="24"/>
        </w:rPr>
        <w:t>4</w:t>
      </w:r>
      <w:r w:rsidR="2045D51B" w:rsidRPr="00493755">
        <w:rPr>
          <w:rFonts w:eastAsia="Times New Roman" w:cs="Times New Roman"/>
          <w:sz w:val="24"/>
          <w:szCs w:val="24"/>
        </w:rPr>
        <w:t>.</w:t>
      </w:r>
      <w:r w:rsidR="004A42E5" w:rsidRPr="00493755">
        <w:rPr>
          <w:rFonts w:eastAsia="Times New Roman" w:cs="Times New Roman"/>
          <w:sz w:val="24"/>
          <w:szCs w:val="24"/>
        </w:rPr>
        <w:t> </w:t>
      </w:r>
      <w:r w:rsidR="0AD421E8" w:rsidRPr="00493755">
        <w:rPr>
          <w:rFonts w:eastAsia="Times New Roman" w:cs="Times New Roman"/>
          <w:sz w:val="24"/>
          <w:szCs w:val="24"/>
        </w:rPr>
        <w:t>ceturksnī.</w:t>
      </w:r>
      <w:r w:rsidR="2045D51B" w:rsidRPr="00493755">
        <w:rPr>
          <w:rFonts w:eastAsia="Times New Roman" w:cs="Times New Roman"/>
          <w:sz w:val="24"/>
          <w:szCs w:val="24"/>
        </w:rPr>
        <w:t xml:space="preserve"> Posma Misa – Vangaži </w:t>
      </w:r>
      <w:r w:rsidR="4934B946" w:rsidRPr="00493755">
        <w:rPr>
          <w:rFonts w:eastAsia="Times New Roman" w:cs="Times New Roman"/>
          <w:sz w:val="24"/>
          <w:szCs w:val="24"/>
        </w:rPr>
        <w:t>būvniecība tiks pieteikta 2023.</w:t>
      </w:r>
      <w:r w:rsidR="004A42E5" w:rsidRPr="00493755">
        <w:rPr>
          <w:rFonts w:eastAsia="Times New Roman" w:cs="Times New Roman"/>
          <w:sz w:val="24"/>
          <w:szCs w:val="24"/>
        </w:rPr>
        <w:t> </w:t>
      </w:r>
      <w:r w:rsidR="4934B946" w:rsidRPr="00493755">
        <w:rPr>
          <w:rFonts w:eastAsia="Times New Roman" w:cs="Times New Roman"/>
          <w:sz w:val="24"/>
          <w:szCs w:val="24"/>
        </w:rPr>
        <w:t xml:space="preserve">gada </w:t>
      </w:r>
      <w:r w:rsidR="0BC1C910" w:rsidRPr="00493755">
        <w:rPr>
          <w:rFonts w:eastAsia="Times New Roman" w:cs="Times New Roman"/>
          <w:sz w:val="24"/>
          <w:szCs w:val="24"/>
        </w:rPr>
        <w:t xml:space="preserve">CEF finansējuma pieteikumu uzsaukumā </w:t>
      </w:r>
      <w:r w:rsidR="7B35577B" w:rsidRPr="00493755">
        <w:rPr>
          <w:rFonts w:eastAsia="Times New Roman" w:cs="Times New Roman"/>
          <w:sz w:val="24"/>
          <w:szCs w:val="24"/>
        </w:rPr>
        <w:t xml:space="preserve">tāpēc </w:t>
      </w:r>
      <w:r w:rsidR="2565F8DB" w:rsidRPr="00493755">
        <w:rPr>
          <w:rFonts w:eastAsia="Times New Roman" w:cs="Times New Roman"/>
          <w:sz w:val="24"/>
          <w:szCs w:val="24"/>
        </w:rPr>
        <w:t>tā projektēšanai jānoslēdzas 2023.</w:t>
      </w:r>
      <w:r w:rsidR="004A42E5" w:rsidRPr="00493755">
        <w:rPr>
          <w:rFonts w:eastAsia="Times New Roman" w:cs="Times New Roman"/>
          <w:sz w:val="24"/>
          <w:szCs w:val="24"/>
        </w:rPr>
        <w:t> </w:t>
      </w:r>
      <w:r w:rsidR="2565F8DB" w:rsidRPr="00493755">
        <w:rPr>
          <w:rFonts w:eastAsia="Times New Roman" w:cs="Times New Roman"/>
          <w:sz w:val="24"/>
          <w:szCs w:val="24"/>
        </w:rPr>
        <w:t>gada 4.</w:t>
      </w:r>
      <w:r w:rsidR="004A42E5" w:rsidRPr="00493755">
        <w:rPr>
          <w:rFonts w:eastAsia="Times New Roman" w:cs="Times New Roman"/>
          <w:sz w:val="24"/>
          <w:szCs w:val="24"/>
        </w:rPr>
        <w:t> </w:t>
      </w:r>
      <w:r w:rsidR="2565F8DB" w:rsidRPr="00493755">
        <w:rPr>
          <w:rFonts w:eastAsia="Times New Roman" w:cs="Times New Roman"/>
          <w:sz w:val="24"/>
          <w:szCs w:val="24"/>
        </w:rPr>
        <w:t xml:space="preserve">ceturksnī </w:t>
      </w:r>
      <w:r w:rsidR="4B3CEED8" w:rsidRPr="00493755">
        <w:rPr>
          <w:rFonts w:eastAsia="Times New Roman" w:cs="Times New Roman"/>
          <w:sz w:val="24"/>
          <w:szCs w:val="24"/>
        </w:rPr>
        <w:t xml:space="preserve">būvniecību </w:t>
      </w:r>
      <w:r w:rsidR="0491A94D" w:rsidRPr="00493755">
        <w:rPr>
          <w:rFonts w:eastAsia="Times New Roman" w:cs="Times New Roman"/>
          <w:sz w:val="24"/>
          <w:szCs w:val="24"/>
        </w:rPr>
        <w:t>uzsākot 2024.</w:t>
      </w:r>
      <w:r w:rsidR="004A42E5" w:rsidRPr="00493755">
        <w:rPr>
          <w:rFonts w:eastAsia="Times New Roman" w:cs="Times New Roman"/>
          <w:sz w:val="24"/>
          <w:szCs w:val="24"/>
        </w:rPr>
        <w:t> </w:t>
      </w:r>
      <w:r w:rsidR="0491A94D" w:rsidRPr="00493755">
        <w:rPr>
          <w:rFonts w:eastAsia="Times New Roman" w:cs="Times New Roman"/>
          <w:sz w:val="24"/>
          <w:szCs w:val="24"/>
        </w:rPr>
        <w:t xml:space="preserve">gada </w:t>
      </w:r>
      <w:r w:rsidR="70B9DA3C" w:rsidRPr="00493755">
        <w:rPr>
          <w:rFonts w:eastAsia="Times New Roman" w:cs="Times New Roman"/>
          <w:sz w:val="24"/>
          <w:szCs w:val="24"/>
        </w:rPr>
        <w:t>3.</w:t>
      </w:r>
      <w:r w:rsidR="004A42E5" w:rsidRPr="00493755">
        <w:rPr>
          <w:rFonts w:eastAsia="Times New Roman" w:cs="Times New Roman"/>
          <w:sz w:val="24"/>
          <w:szCs w:val="24"/>
        </w:rPr>
        <w:t> </w:t>
      </w:r>
      <w:r w:rsidR="70B9DA3C" w:rsidRPr="00493755">
        <w:rPr>
          <w:rFonts w:eastAsia="Times New Roman" w:cs="Times New Roman"/>
          <w:sz w:val="24"/>
          <w:szCs w:val="24"/>
        </w:rPr>
        <w:t xml:space="preserve">ceturksnī. Kā atsevišķa </w:t>
      </w:r>
      <w:r w:rsidR="04ACAB39" w:rsidRPr="00493755">
        <w:rPr>
          <w:rFonts w:eastAsia="Times New Roman" w:cs="Times New Roman"/>
          <w:sz w:val="24"/>
          <w:szCs w:val="24"/>
        </w:rPr>
        <w:t xml:space="preserve">sekcija </w:t>
      </w:r>
      <w:r w:rsidR="519294E9" w:rsidRPr="00493755">
        <w:rPr>
          <w:rFonts w:eastAsia="Times New Roman" w:cs="Times New Roman"/>
          <w:sz w:val="24"/>
          <w:szCs w:val="24"/>
        </w:rPr>
        <w:t xml:space="preserve">tiek izdalīts apvienotais dzelzceļa – autoceļa tilts pār Daugavu, </w:t>
      </w:r>
      <w:r w:rsidR="7B85974F" w:rsidRPr="00493755">
        <w:rPr>
          <w:rFonts w:eastAsia="Times New Roman" w:cs="Times New Roman"/>
          <w:sz w:val="24"/>
          <w:szCs w:val="24"/>
        </w:rPr>
        <w:t>kura</w:t>
      </w:r>
      <w:r w:rsidR="59F7ACD8" w:rsidRPr="00493755">
        <w:rPr>
          <w:rFonts w:eastAsia="Times New Roman" w:cs="Times New Roman"/>
          <w:sz w:val="24"/>
          <w:szCs w:val="24"/>
        </w:rPr>
        <w:t xml:space="preserve"> projektēšana noslēdzas 2022.</w:t>
      </w:r>
      <w:r w:rsidR="004A42E5" w:rsidRPr="00493755">
        <w:rPr>
          <w:rFonts w:eastAsia="Times New Roman" w:cs="Times New Roman"/>
          <w:sz w:val="24"/>
          <w:szCs w:val="24"/>
        </w:rPr>
        <w:t> </w:t>
      </w:r>
      <w:r w:rsidR="59F7ACD8" w:rsidRPr="00493755">
        <w:rPr>
          <w:rFonts w:eastAsia="Times New Roman" w:cs="Times New Roman"/>
          <w:sz w:val="24"/>
          <w:szCs w:val="24"/>
        </w:rPr>
        <w:t xml:space="preserve">gada </w:t>
      </w:r>
      <w:r w:rsidR="128DF5E0" w:rsidRPr="00493755">
        <w:rPr>
          <w:rFonts w:eastAsia="Times New Roman" w:cs="Times New Roman"/>
          <w:sz w:val="24"/>
          <w:szCs w:val="24"/>
        </w:rPr>
        <w:t>4.</w:t>
      </w:r>
      <w:r w:rsidR="004A42E5" w:rsidRPr="00493755">
        <w:rPr>
          <w:rFonts w:eastAsia="Times New Roman" w:cs="Times New Roman"/>
          <w:sz w:val="24"/>
          <w:szCs w:val="24"/>
        </w:rPr>
        <w:t> </w:t>
      </w:r>
      <w:r w:rsidR="128DF5E0" w:rsidRPr="00493755">
        <w:rPr>
          <w:rFonts w:eastAsia="Times New Roman" w:cs="Times New Roman"/>
          <w:sz w:val="24"/>
          <w:szCs w:val="24"/>
        </w:rPr>
        <w:t xml:space="preserve">ceturksnī un būvniecība </w:t>
      </w:r>
      <w:r w:rsidR="00B1001A" w:rsidRPr="00493755">
        <w:rPr>
          <w:rFonts w:eastAsia="Times New Roman" w:cs="Times New Roman"/>
          <w:sz w:val="24"/>
          <w:szCs w:val="24"/>
        </w:rPr>
        <w:t>tiks</w:t>
      </w:r>
      <w:r w:rsidR="128DF5E0" w:rsidRPr="00493755">
        <w:rPr>
          <w:rFonts w:eastAsia="Times New Roman" w:cs="Times New Roman"/>
          <w:sz w:val="24"/>
          <w:szCs w:val="24"/>
        </w:rPr>
        <w:t xml:space="preserve"> pieteikta 2022.</w:t>
      </w:r>
      <w:r w:rsidR="004A42E5" w:rsidRPr="00493755">
        <w:rPr>
          <w:rFonts w:eastAsia="Times New Roman" w:cs="Times New Roman"/>
          <w:sz w:val="24"/>
          <w:szCs w:val="24"/>
        </w:rPr>
        <w:t> </w:t>
      </w:r>
      <w:r w:rsidR="128DF5E0" w:rsidRPr="00493755">
        <w:rPr>
          <w:rFonts w:eastAsia="Times New Roman" w:cs="Times New Roman"/>
          <w:sz w:val="24"/>
          <w:szCs w:val="24"/>
        </w:rPr>
        <w:t xml:space="preserve">gada CEF </w:t>
      </w:r>
      <w:r w:rsidR="389319F9" w:rsidRPr="00493755">
        <w:rPr>
          <w:rFonts w:eastAsia="Times New Roman" w:cs="Times New Roman"/>
          <w:sz w:val="24"/>
          <w:szCs w:val="24"/>
        </w:rPr>
        <w:t xml:space="preserve">(dzelzceļa sadaļa) un Militārās </w:t>
      </w:r>
      <w:r w:rsidR="5EECBD79" w:rsidRPr="00493755">
        <w:rPr>
          <w:rFonts w:eastAsia="Times New Roman" w:cs="Times New Roman"/>
          <w:sz w:val="24"/>
          <w:szCs w:val="24"/>
        </w:rPr>
        <w:t>Mobilitātes (autoceļu sadaļa) uzsaukumos.</w:t>
      </w:r>
    </w:p>
    <w:p w14:paraId="4E6238E2" w14:textId="29234771" w:rsidR="00CB67BB" w:rsidRPr="00493755" w:rsidRDefault="1BBE23C9" w:rsidP="007657CC">
      <w:pPr>
        <w:spacing w:after="0" w:line="240" w:lineRule="auto"/>
        <w:ind w:firstLine="720"/>
        <w:jc w:val="both"/>
        <w:rPr>
          <w:rFonts w:cs="Times New Roman"/>
          <w:sz w:val="24"/>
          <w:szCs w:val="24"/>
        </w:rPr>
      </w:pPr>
      <w:r w:rsidRPr="00493755">
        <w:rPr>
          <w:rFonts w:eastAsia="Times New Roman" w:cs="Times New Roman"/>
          <w:sz w:val="24"/>
          <w:szCs w:val="24"/>
        </w:rPr>
        <w:t xml:space="preserve">Arī </w:t>
      </w:r>
      <w:proofErr w:type="spellStart"/>
      <w:r w:rsidR="09CB742C" w:rsidRPr="00493755">
        <w:rPr>
          <w:rFonts w:eastAsia="Times New Roman" w:cs="Times New Roman"/>
          <w:sz w:val="24"/>
          <w:szCs w:val="24"/>
        </w:rPr>
        <w:t>punktveida</w:t>
      </w:r>
      <w:proofErr w:type="spellEnd"/>
      <w:r w:rsidR="09CB742C" w:rsidRPr="00493755">
        <w:rPr>
          <w:rFonts w:eastAsia="Times New Roman" w:cs="Times New Roman"/>
          <w:sz w:val="24"/>
          <w:szCs w:val="24"/>
        </w:rPr>
        <w:t xml:space="preserve"> objektu projektēšanā ir identificēti kavējumi</w:t>
      </w:r>
      <w:r w:rsidR="00B75043" w:rsidRPr="00493755">
        <w:rPr>
          <w:rFonts w:eastAsia="Times New Roman" w:cs="Times New Roman"/>
          <w:sz w:val="24"/>
          <w:szCs w:val="24"/>
        </w:rPr>
        <w:t>, kas saistīti ar novēlot</w:t>
      </w:r>
      <w:r w:rsidR="00F13690" w:rsidRPr="00493755">
        <w:rPr>
          <w:rFonts w:eastAsia="Times New Roman" w:cs="Times New Roman"/>
          <w:sz w:val="24"/>
          <w:szCs w:val="24"/>
        </w:rPr>
        <w:t xml:space="preserve">u iepirkuma </w:t>
      </w:r>
      <w:r w:rsidR="00591B7B" w:rsidRPr="00493755">
        <w:rPr>
          <w:rFonts w:eastAsia="Times New Roman" w:cs="Times New Roman"/>
          <w:sz w:val="24"/>
          <w:szCs w:val="24"/>
        </w:rPr>
        <w:t xml:space="preserve">konkursu </w:t>
      </w:r>
      <w:r w:rsidR="00F13690" w:rsidRPr="00493755">
        <w:rPr>
          <w:rFonts w:eastAsia="Times New Roman" w:cs="Times New Roman"/>
          <w:sz w:val="24"/>
          <w:szCs w:val="24"/>
        </w:rPr>
        <w:t>izsludināšanu</w:t>
      </w:r>
      <w:r w:rsidR="00591B7B" w:rsidRPr="00493755">
        <w:rPr>
          <w:rFonts w:eastAsia="Times New Roman" w:cs="Times New Roman"/>
          <w:sz w:val="24"/>
          <w:szCs w:val="24"/>
        </w:rPr>
        <w:t xml:space="preserve"> un pretendentu iesniegto </w:t>
      </w:r>
      <w:r w:rsidR="00AE0A70" w:rsidRPr="00493755">
        <w:rPr>
          <w:rFonts w:eastAsia="Times New Roman" w:cs="Times New Roman"/>
          <w:sz w:val="24"/>
          <w:szCs w:val="24"/>
        </w:rPr>
        <w:t xml:space="preserve">piedāvājumu </w:t>
      </w:r>
      <w:r w:rsidR="00314F6C" w:rsidRPr="00493755">
        <w:rPr>
          <w:rFonts w:eastAsia="Times New Roman" w:cs="Times New Roman"/>
          <w:sz w:val="24"/>
          <w:szCs w:val="24"/>
        </w:rPr>
        <w:t>neiekļaušanos pieejamajā budžetā</w:t>
      </w:r>
      <w:r w:rsidR="09CB742C" w:rsidRPr="00493755">
        <w:rPr>
          <w:rFonts w:eastAsia="Times New Roman" w:cs="Times New Roman"/>
          <w:sz w:val="24"/>
          <w:szCs w:val="24"/>
        </w:rPr>
        <w:t xml:space="preserve">: </w:t>
      </w:r>
      <w:r w:rsidR="46276C1B" w:rsidRPr="00493755">
        <w:rPr>
          <w:rFonts w:eastAsia="Times New Roman" w:cs="Times New Roman"/>
          <w:sz w:val="24"/>
          <w:szCs w:val="24"/>
        </w:rPr>
        <w:t>Salaspils multimodālā krav</w:t>
      </w:r>
      <w:r w:rsidR="77DD5F1B" w:rsidRPr="00493755">
        <w:rPr>
          <w:rFonts w:eastAsia="Times New Roman" w:cs="Times New Roman"/>
          <w:sz w:val="24"/>
          <w:szCs w:val="24"/>
        </w:rPr>
        <w:t>u</w:t>
      </w:r>
      <w:r w:rsidR="46276C1B" w:rsidRPr="00493755">
        <w:rPr>
          <w:rFonts w:eastAsia="Times New Roman" w:cs="Times New Roman"/>
          <w:sz w:val="24"/>
          <w:szCs w:val="24"/>
        </w:rPr>
        <w:t xml:space="preserve"> termināļa projektēšanas darbu kavējumi ir sasnieg</w:t>
      </w:r>
      <w:r w:rsidR="7229CD48" w:rsidRPr="00493755">
        <w:rPr>
          <w:rFonts w:eastAsia="Times New Roman" w:cs="Times New Roman"/>
          <w:sz w:val="24"/>
          <w:szCs w:val="24"/>
        </w:rPr>
        <w:t xml:space="preserve">uši </w:t>
      </w:r>
      <w:r w:rsidR="6AC2A2FC" w:rsidRPr="00493755">
        <w:rPr>
          <w:rFonts w:eastAsia="Times New Roman" w:cs="Times New Roman"/>
          <w:sz w:val="24"/>
          <w:szCs w:val="24"/>
        </w:rPr>
        <w:t xml:space="preserve">astoņus </w:t>
      </w:r>
      <w:r w:rsidR="7229CD48" w:rsidRPr="00493755">
        <w:rPr>
          <w:rFonts w:eastAsia="Times New Roman" w:cs="Times New Roman"/>
          <w:sz w:val="24"/>
          <w:szCs w:val="24"/>
        </w:rPr>
        <w:t xml:space="preserve">mēnešus, </w:t>
      </w:r>
      <w:r w:rsidR="780A61CC" w:rsidRPr="00493755">
        <w:rPr>
          <w:rFonts w:eastAsia="Times New Roman" w:cs="Times New Roman"/>
          <w:sz w:val="24"/>
          <w:szCs w:val="24"/>
        </w:rPr>
        <w:t xml:space="preserve">reģionālo staciju projektēšanas darbu kavējumi </w:t>
      </w:r>
      <w:r w:rsidR="77DD5F1B" w:rsidRPr="00493755">
        <w:rPr>
          <w:rFonts w:eastAsia="Times New Roman" w:cs="Times New Roman"/>
          <w:sz w:val="24"/>
          <w:szCs w:val="24"/>
        </w:rPr>
        <w:t xml:space="preserve">- </w:t>
      </w:r>
      <w:r w:rsidR="25C9543F" w:rsidRPr="00493755">
        <w:rPr>
          <w:rFonts w:eastAsia="Times New Roman" w:cs="Times New Roman"/>
          <w:sz w:val="24"/>
          <w:szCs w:val="24"/>
        </w:rPr>
        <w:t xml:space="preserve">sešus mēnešus. </w:t>
      </w:r>
      <w:r w:rsidR="6094C02E" w:rsidRPr="00493755">
        <w:rPr>
          <w:rFonts w:eastAsia="Times New Roman" w:cs="Times New Roman"/>
          <w:sz w:val="24"/>
          <w:szCs w:val="24"/>
        </w:rPr>
        <w:t xml:space="preserve">Papildus, </w:t>
      </w:r>
      <w:r w:rsidR="73224899" w:rsidRPr="00493755">
        <w:rPr>
          <w:rFonts w:eastAsia="Times New Roman" w:cs="Times New Roman"/>
          <w:sz w:val="24"/>
          <w:szCs w:val="24"/>
        </w:rPr>
        <w:t xml:space="preserve">Salaspils multimodālā kravu termināļa </w:t>
      </w:r>
      <w:r w:rsidR="39B561CF" w:rsidRPr="00493755">
        <w:rPr>
          <w:rFonts w:eastAsia="Times New Roman" w:cs="Times New Roman"/>
          <w:sz w:val="24"/>
          <w:szCs w:val="24"/>
        </w:rPr>
        <w:t xml:space="preserve">pārvaldības modeļa izstrāde tiek kavēta par deviņiem mēnešiem, Rīgas Centrālā </w:t>
      </w:r>
      <w:r w:rsidR="4D47FF8E" w:rsidRPr="00493755">
        <w:rPr>
          <w:rFonts w:eastAsia="Times New Roman" w:cs="Times New Roman"/>
          <w:sz w:val="24"/>
          <w:szCs w:val="24"/>
        </w:rPr>
        <w:t xml:space="preserve">multimodālā </w:t>
      </w:r>
      <w:r w:rsidR="39B561CF" w:rsidRPr="00493755">
        <w:rPr>
          <w:rFonts w:eastAsia="Times New Roman" w:cs="Times New Roman"/>
          <w:sz w:val="24"/>
          <w:szCs w:val="24"/>
        </w:rPr>
        <w:t xml:space="preserve">dzelzceļa mezgla </w:t>
      </w:r>
      <w:r w:rsidR="4D47FF8E" w:rsidRPr="00493755">
        <w:rPr>
          <w:rFonts w:eastAsia="Times New Roman" w:cs="Times New Roman"/>
          <w:sz w:val="24"/>
          <w:szCs w:val="24"/>
        </w:rPr>
        <w:t xml:space="preserve">un </w:t>
      </w:r>
      <w:r w:rsidR="59EC41CA" w:rsidRPr="00493755">
        <w:rPr>
          <w:rFonts w:eastAsia="Times New Roman" w:cs="Times New Roman"/>
          <w:sz w:val="24"/>
          <w:szCs w:val="24"/>
        </w:rPr>
        <w:t xml:space="preserve">starptautiskās lidostas “Rīga” multimodālā transporta mezgla </w:t>
      </w:r>
      <w:r w:rsidR="0189F5C1" w:rsidRPr="00493755">
        <w:rPr>
          <w:rFonts w:eastAsia="Times New Roman" w:cs="Times New Roman"/>
          <w:sz w:val="24"/>
          <w:szCs w:val="24"/>
        </w:rPr>
        <w:t xml:space="preserve">pārvaldības modeļu izstrāde </w:t>
      </w:r>
      <w:r w:rsidR="6094C02E" w:rsidRPr="00493755">
        <w:rPr>
          <w:rFonts w:eastAsia="Times New Roman" w:cs="Times New Roman"/>
          <w:sz w:val="24"/>
          <w:szCs w:val="24"/>
        </w:rPr>
        <w:t xml:space="preserve">tiek kavēta </w:t>
      </w:r>
      <w:r w:rsidR="053522C3" w:rsidRPr="00493755">
        <w:rPr>
          <w:rFonts w:eastAsia="Times New Roman" w:cs="Times New Roman"/>
          <w:sz w:val="24"/>
          <w:szCs w:val="24"/>
        </w:rPr>
        <w:t>par pieciem mēnešiem.</w:t>
      </w:r>
      <w:r w:rsidR="649AA7D2" w:rsidRPr="00493755">
        <w:rPr>
          <w:rFonts w:eastAsia="Times New Roman" w:cs="Times New Roman"/>
          <w:sz w:val="24"/>
          <w:szCs w:val="24"/>
        </w:rPr>
        <w:t xml:space="preserve"> Minēto pārvaldības modeļu izstrādes kavējumi </w:t>
      </w:r>
      <w:r w:rsidR="08C5058B" w:rsidRPr="00493755">
        <w:rPr>
          <w:rFonts w:eastAsia="Times New Roman" w:cs="Times New Roman"/>
          <w:sz w:val="24"/>
          <w:szCs w:val="24"/>
        </w:rPr>
        <w:t>neļauj</w:t>
      </w:r>
      <w:r w:rsidR="666D2523" w:rsidRPr="00493755">
        <w:rPr>
          <w:rFonts w:eastAsia="Times New Roman" w:cs="Times New Roman"/>
          <w:sz w:val="24"/>
          <w:szCs w:val="24"/>
        </w:rPr>
        <w:t xml:space="preserve"> savlaicīgi uzsākt darbu privātā kapitāla piesaistei </w:t>
      </w:r>
      <w:r w:rsidR="0667B0E2" w:rsidRPr="00493755">
        <w:rPr>
          <w:rFonts w:eastAsia="Times New Roman" w:cs="Times New Roman"/>
          <w:sz w:val="24"/>
          <w:szCs w:val="24"/>
        </w:rPr>
        <w:t xml:space="preserve">to </w:t>
      </w:r>
      <w:r w:rsidR="4023FA08" w:rsidRPr="00493755">
        <w:rPr>
          <w:rFonts w:eastAsia="Times New Roman" w:cs="Times New Roman"/>
          <w:sz w:val="24"/>
          <w:szCs w:val="24"/>
        </w:rPr>
        <w:t xml:space="preserve">elementu </w:t>
      </w:r>
      <w:r w:rsidR="0667B0E2" w:rsidRPr="00493755">
        <w:rPr>
          <w:rFonts w:eastAsia="Times New Roman" w:cs="Times New Roman"/>
          <w:sz w:val="24"/>
          <w:szCs w:val="24"/>
        </w:rPr>
        <w:t>būvniecībai</w:t>
      </w:r>
      <w:r w:rsidR="42E18531" w:rsidRPr="00493755">
        <w:rPr>
          <w:rFonts w:eastAsia="Times New Roman" w:cs="Times New Roman"/>
          <w:sz w:val="24"/>
          <w:szCs w:val="24"/>
        </w:rPr>
        <w:t>, kurus CEF nefinansē.</w:t>
      </w:r>
      <w:r w:rsidR="00B743D9">
        <w:rPr>
          <w:rFonts w:eastAsia="Times New Roman" w:cs="Times New Roman"/>
          <w:sz w:val="24"/>
          <w:szCs w:val="24"/>
        </w:rPr>
        <w:t xml:space="preserve"> Jāvērš uzmanība, ka par šiem jautājumiem atbildīgā iestāde, SIA “Eiropas dzelzceļa līnijas”, aktīvi stiprina infrastruktūras pārvaldības jautājumu kapacitāti, lai turpmāk neuzkrātu šo aktivitāšu kavējumus. </w:t>
      </w:r>
      <w:r w:rsidR="22245375" w:rsidRPr="00493755">
        <w:rPr>
          <w:rFonts w:eastAsia="Times New Roman" w:cs="Times New Roman"/>
          <w:sz w:val="24"/>
          <w:szCs w:val="24"/>
        </w:rPr>
        <w:t xml:space="preserve"> </w:t>
      </w:r>
      <w:r w:rsidR="0D356194" w:rsidRPr="00493755">
        <w:rPr>
          <w:rFonts w:eastAsia="Times New Roman" w:cs="Times New Roman"/>
          <w:sz w:val="24"/>
          <w:szCs w:val="24"/>
        </w:rPr>
        <w:t xml:space="preserve"> </w:t>
      </w:r>
      <w:r w:rsidR="475EA4C6" w:rsidRPr="00493755">
        <w:rPr>
          <w:rFonts w:eastAsia="Times New Roman" w:cs="Times New Roman"/>
          <w:sz w:val="24"/>
          <w:szCs w:val="24"/>
        </w:rPr>
        <w:t xml:space="preserve"> </w:t>
      </w:r>
      <w:r w:rsidR="123FE1CF" w:rsidRPr="00493755">
        <w:rPr>
          <w:rFonts w:eastAsia="Times New Roman" w:cs="Times New Roman"/>
          <w:sz w:val="24"/>
          <w:szCs w:val="24"/>
        </w:rPr>
        <w:t xml:space="preserve"> </w:t>
      </w:r>
      <w:r w:rsidR="764EAA92" w:rsidRPr="00493755">
        <w:rPr>
          <w:rFonts w:eastAsia="Times New Roman" w:cs="Times New Roman"/>
          <w:sz w:val="24"/>
          <w:szCs w:val="24"/>
        </w:rPr>
        <w:t xml:space="preserve"> </w:t>
      </w:r>
    </w:p>
    <w:p w14:paraId="6AF6B469" w14:textId="023CA5E3" w:rsidR="009422DE" w:rsidRPr="00493755" w:rsidRDefault="003C1065" w:rsidP="00890CB4">
      <w:pPr>
        <w:spacing w:before="120" w:after="120"/>
        <w:jc w:val="center"/>
        <w:rPr>
          <w:rFonts w:cs="Times New Roman"/>
          <w:b/>
          <w:sz w:val="24"/>
          <w:szCs w:val="24"/>
        </w:rPr>
      </w:pPr>
      <w:r w:rsidRPr="00493755">
        <w:rPr>
          <w:rFonts w:cs="Times New Roman"/>
          <w:b/>
          <w:sz w:val="24"/>
          <w:szCs w:val="24"/>
        </w:rPr>
        <w:t>Projekta finansējums</w:t>
      </w:r>
    </w:p>
    <w:p w14:paraId="377066AD" w14:textId="15FEF3A5" w:rsidR="00C871BB" w:rsidRPr="00493755" w:rsidRDefault="23876E70" w:rsidP="00890CB4">
      <w:pPr>
        <w:pStyle w:val="ListParagraph"/>
        <w:ind w:left="0" w:firstLine="567"/>
        <w:rPr>
          <w:rFonts w:cs="Times New Roman"/>
        </w:rPr>
      </w:pPr>
      <w:r w:rsidRPr="00493755">
        <w:rPr>
          <w:rFonts w:cs="Times New Roman"/>
        </w:rPr>
        <w:t>E</w:t>
      </w:r>
      <w:r w:rsidR="3A27EC47" w:rsidRPr="00493755">
        <w:rPr>
          <w:rFonts w:cs="Times New Roman"/>
        </w:rPr>
        <w:t xml:space="preserve">iropas </w:t>
      </w:r>
      <w:r w:rsidRPr="00493755">
        <w:rPr>
          <w:rFonts w:cs="Times New Roman"/>
        </w:rPr>
        <w:t>K</w:t>
      </w:r>
      <w:r w:rsidR="3A27EC47" w:rsidRPr="00493755">
        <w:rPr>
          <w:rFonts w:cs="Times New Roman"/>
        </w:rPr>
        <w:t>omisija (turpmāk – EK)</w:t>
      </w:r>
      <w:r w:rsidRPr="00493755">
        <w:rPr>
          <w:rFonts w:cs="Times New Roman"/>
        </w:rPr>
        <w:t xml:space="preserve"> 2014., 2015.</w:t>
      </w:r>
      <w:r w:rsidR="35F3C0D5" w:rsidRPr="00493755">
        <w:rPr>
          <w:rFonts w:cs="Times New Roman"/>
        </w:rPr>
        <w:t>, 2016</w:t>
      </w:r>
      <w:r w:rsidR="606C5534" w:rsidRPr="00493755">
        <w:rPr>
          <w:rFonts w:cs="Times New Roman"/>
        </w:rPr>
        <w:t>.</w:t>
      </w:r>
      <w:r w:rsidR="7F5141FD" w:rsidRPr="00493755">
        <w:rPr>
          <w:rFonts w:cs="Times New Roman"/>
        </w:rPr>
        <w:t xml:space="preserve">, </w:t>
      </w:r>
      <w:r w:rsidR="35F3C0D5" w:rsidRPr="00493755">
        <w:rPr>
          <w:rFonts w:cs="Times New Roman"/>
        </w:rPr>
        <w:t>2019</w:t>
      </w:r>
      <w:r w:rsidRPr="00493755">
        <w:rPr>
          <w:rFonts w:cs="Times New Roman"/>
        </w:rPr>
        <w:t>.</w:t>
      </w:r>
      <w:r w:rsidR="7F5141FD" w:rsidRPr="00493755">
        <w:rPr>
          <w:rFonts w:cs="Times New Roman"/>
        </w:rPr>
        <w:t xml:space="preserve"> un 2020.</w:t>
      </w:r>
      <w:r w:rsidR="278DAB29" w:rsidRPr="00493755">
        <w:rPr>
          <w:rFonts w:cs="Times New Roman"/>
        </w:rPr>
        <w:t> </w:t>
      </w:r>
      <w:r w:rsidRPr="00493755">
        <w:rPr>
          <w:rFonts w:cs="Times New Roman"/>
        </w:rPr>
        <w:t>gadā izsludināja projektu iesniegumu konkurs</w:t>
      </w:r>
      <w:r w:rsidR="4B382555" w:rsidRPr="00493755">
        <w:rPr>
          <w:rFonts w:cs="Times New Roman"/>
        </w:rPr>
        <w:t>us</w:t>
      </w:r>
      <w:r w:rsidRPr="00493755">
        <w:rPr>
          <w:rFonts w:cs="Times New Roman"/>
        </w:rPr>
        <w:t xml:space="preserve"> par finanšu palīdzības piešķiršanu no E</w:t>
      </w:r>
      <w:r w:rsidR="3B56CD46" w:rsidRPr="00493755">
        <w:rPr>
          <w:rFonts w:cs="Times New Roman"/>
        </w:rPr>
        <w:t xml:space="preserve">iropas Infrastruktūras </w:t>
      </w:r>
      <w:r w:rsidR="30018D80" w:rsidRPr="00493755">
        <w:rPr>
          <w:rFonts w:cs="Times New Roman"/>
        </w:rPr>
        <w:t>savienošanas instrumenta (turpmāk – E</w:t>
      </w:r>
      <w:r w:rsidRPr="00493755">
        <w:rPr>
          <w:rFonts w:cs="Times New Roman"/>
        </w:rPr>
        <w:t>ISI</w:t>
      </w:r>
      <w:r w:rsidR="30018D80" w:rsidRPr="00493755">
        <w:rPr>
          <w:rFonts w:cs="Times New Roman"/>
        </w:rPr>
        <w:t>)</w:t>
      </w:r>
      <w:r w:rsidRPr="00493755">
        <w:rPr>
          <w:rFonts w:cs="Times New Roman"/>
        </w:rPr>
        <w:t>, kuros piedaloties Projekts ieguva finansējumu</w:t>
      </w:r>
      <w:r w:rsidR="05F507C9" w:rsidRPr="00493755">
        <w:rPr>
          <w:rFonts w:cs="Times New Roman"/>
        </w:rPr>
        <w:t xml:space="preserve"> </w:t>
      </w:r>
      <w:r w:rsidRPr="00493755">
        <w:rPr>
          <w:rFonts w:cs="Times New Roman"/>
        </w:rPr>
        <w:t>transporta daudzgadu darba programmas 2014.</w:t>
      </w:r>
      <w:r w:rsidR="004A42E5" w:rsidRPr="00493755">
        <w:rPr>
          <w:rFonts w:cs="Times New Roman"/>
        </w:rPr>
        <w:t>-</w:t>
      </w:r>
      <w:r w:rsidRPr="00493755">
        <w:rPr>
          <w:rFonts w:cs="Times New Roman"/>
        </w:rPr>
        <w:t>2020.</w:t>
      </w:r>
      <w:r w:rsidR="004A42E5" w:rsidRPr="00493755">
        <w:rPr>
          <w:rFonts w:cs="Times New Roman"/>
        </w:rPr>
        <w:t> </w:t>
      </w:r>
      <w:r w:rsidRPr="00493755">
        <w:rPr>
          <w:rFonts w:cs="Times New Roman"/>
        </w:rPr>
        <w:t>g</w:t>
      </w:r>
      <w:r w:rsidR="05F507C9" w:rsidRPr="00493755">
        <w:rPr>
          <w:rFonts w:cs="Times New Roman"/>
        </w:rPr>
        <w:t>adam</w:t>
      </w:r>
      <w:r w:rsidRPr="00493755">
        <w:rPr>
          <w:rFonts w:cs="Times New Roman"/>
        </w:rPr>
        <w:t xml:space="preserve"> ietvaros. </w:t>
      </w:r>
      <w:r w:rsidR="4BE34FEF" w:rsidRPr="00493755">
        <w:rPr>
          <w:rFonts w:cs="Times New Roman"/>
        </w:rPr>
        <w:t>Tādejādi</w:t>
      </w:r>
      <w:r w:rsidR="777C519C" w:rsidRPr="00493755">
        <w:rPr>
          <w:rFonts w:cs="Times New Roman"/>
        </w:rPr>
        <w:t>,</w:t>
      </w:r>
      <w:r w:rsidR="4BE34FEF" w:rsidRPr="00493755">
        <w:rPr>
          <w:rFonts w:cs="Times New Roman"/>
        </w:rPr>
        <w:t xml:space="preserve"> l</w:t>
      </w:r>
      <w:r w:rsidR="113E29D6" w:rsidRPr="00493755">
        <w:rPr>
          <w:rFonts w:cs="Times New Roman"/>
        </w:rPr>
        <w:t>aika posmā no 2015.</w:t>
      </w:r>
      <w:r w:rsidR="278DAB29" w:rsidRPr="00493755">
        <w:rPr>
          <w:rFonts w:cs="Times New Roman"/>
        </w:rPr>
        <w:t> </w:t>
      </w:r>
      <w:r w:rsidR="113E29D6" w:rsidRPr="00493755">
        <w:rPr>
          <w:rFonts w:cs="Times New Roman"/>
        </w:rPr>
        <w:t>gada līdz 202</w:t>
      </w:r>
      <w:r w:rsidR="470AC00D" w:rsidRPr="00493755">
        <w:rPr>
          <w:rFonts w:cs="Times New Roman"/>
        </w:rPr>
        <w:t>1</w:t>
      </w:r>
      <w:r w:rsidR="113E29D6" w:rsidRPr="00493755">
        <w:rPr>
          <w:rFonts w:cs="Times New Roman"/>
        </w:rPr>
        <w:t>.</w:t>
      </w:r>
      <w:r w:rsidR="278DAB29" w:rsidRPr="00493755">
        <w:rPr>
          <w:rFonts w:cs="Times New Roman"/>
        </w:rPr>
        <w:t> </w:t>
      </w:r>
      <w:r w:rsidR="113E29D6" w:rsidRPr="00493755">
        <w:rPr>
          <w:rFonts w:cs="Times New Roman"/>
        </w:rPr>
        <w:t>gada</w:t>
      </w:r>
      <w:r w:rsidR="5198ACB7" w:rsidRPr="00493755">
        <w:rPr>
          <w:rFonts w:cs="Times New Roman"/>
        </w:rPr>
        <w:t xml:space="preserve"> decembri</w:t>
      </w:r>
      <w:r w:rsidR="113E29D6" w:rsidRPr="00493755">
        <w:rPr>
          <w:rFonts w:cs="Times New Roman"/>
        </w:rPr>
        <w:t xml:space="preserve">m, parakstot </w:t>
      </w:r>
      <w:r w:rsidR="470AC00D" w:rsidRPr="00493755">
        <w:rPr>
          <w:rFonts w:cs="Times New Roman"/>
        </w:rPr>
        <w:t>sešus</w:t>
      </w:r>
      <w:r w:rsidR="113E29D6" w:rsidRPr="00493755">
        <w:rPr>
          <w:rFonts w:cs="Times New Roman"/>
        </w:rPr>
        <w:t xml:space="preserve"> finansēšanas līgumus (turpmāk – CEF līgumi), Baltijas valstis un </w:t>
      </w:r>
      <w:r w:rsidR="501259E8" w:rsidRPr="00493755">
        <w:rPr>
          <w:rFonts w:cs="Times New Roman"/>
        </w:rPr>
        <w:t xml:space="preserve">Baltijas valstu </w:t>
      </w:r>
      <w:r w:rsidR="43F2307D" w:rsidRPr="00493755">
        <w:rPr>
          <w:rFonts w:cs="Times New Roman"/>
        </w:rPr>
        <w:t xml:space="preserve">RBR </w:t>
      </w:r>
      <w:r w:rsidR="228E2093" w:rsidRPr="00493755">
        <w:rPr>
          <w:rFonts w:cs="Times New Roman"/>
        </w:rPr>
        <w:t xml:space="preserve">saņēma </w:t>
      </w:r>
      <w:r w:rsidR="38D94EDE" w:rsidRPr="00493755">
        <w:rPr>
          <w:rFonts w:cs="Times New Roman"/>
        </w:rPr>
        <w:t xml:space="preserve">CEF </w:t>
      </w:r>
      <w:r w:rsidR="113E29D6" w:rsidRPr="00493755">
        <w:rPr>
          <w:rFonts w:cs="Times New Roman"/>
        </w:rPr>
        <w:t>finansējumu 1</w:t>
      </w:r>
      <w:r w:rsidR="4DDA039D" w:rsidRPr="00493755">
        <w:rPr>
          <w:rFonts w:cs="Times New Roman"/>
        </w:rPr>
        <w:t xml:space="preserve"> 053 767 </w:t>
      </w:r>
      <w:r w:rsidR="4DDA039D" w:rsidRPr="00493755">
        <w:rPr>
          <w:rFonts w:cs="Times New Roman"/>
        </w:rPr>
        <w:lastRenderedPageBreak/>
        <w:t>308</w:t>
      </w:r>
      <w:r w:rsidR="113E29D6" w:rsidRPr="00493755">
        <w:rPr>
          <w:rFonts w:cs="Times New Roman"/>
        </w:rPr>
        <w:t xml:space="preserve"> </w:t>
      </w:r>
      <w:r w:rsidR="113E29D6" w:rsidRPr="00493755">
        <w:rPr>
          <w:rFonts w:cs="Times New Roman"/>
          <w:i/>
          <w:iCs/>
        </w:rPr>
        <w:t>euro</w:t>
      </w:r>
      <w:r w:rsidR="113E29D6" w:rsidRPr="00493755">
        <w:rPr>
          <w:rFonts w:cs="Times New Roman"/>
        </w:rPr>
        <w:t xml:space="preserve"> apmērā, </w:t>
      </w:r>
      <w:r w:rsidR="14CF9EEC" w:rsidRPr="00493755">
        <w:rPr>
          <w:rFonts w:cs="Times New Roman"/>
        </w:rPr>
        <w:t>ta</w:t>
      </w:r>
      <w:r w:rsidR="30A7D346" w:rsidRPr="00493755">
        <w:rPr>
          <w:rFonts w:cs="Times New Roman"/>
        </w:rPr>
        <w:t xml:space="preserve">i </w:t>
      </w:r>
      <w:r w:rsidR="14CF9EEC" w:rsidRPr="00493755">
        <w:rPr>
          <w:rFonts w:cs="Times New Roman"/>
        </w:rPr>
        <w:t xml:space="preserve">skaitā </w:t>
      </w:r>
      <w:r w:rsidR="191A8D16" w:rsidRPr="00493755">
        <w:rPr>
          <w:rFonts w:cs="Times New Roman"/>
        </w:rPr>
        <w:t>ā</w:t>
      </w:r>
      <w:r w:rsidR="10C71B6B" w:rsidRPr="00493755">
        <w:rPr>
          <w:rFonts w:cs="Times New Roman"/>
        </w:rPr>
        <w:t xml:space="preserve">rvalstu </w:t>
      </w:r>
      <w:r w:rsidR="113E29D6" w:rsidRPr="00493755">
        <w:rPr>
          <w:rFonts w:cs="Times New Roman"/>
        </w:rPr>
        <w:t>finanšu palīdzības daļ</w:t>
      </w:r>
      <w:r w:rsidR="3F17E780" w:rsidRPr="00493755">
        <w:rPr>
          <w:rFonts w:cs="Times New Roman"/>
        </w:rPr>
        <w:t xml:space="preserve">u </w:t>
      </w:r>
      <w:r w:rsidR="4DDA039D" w:rsidRPr="00493755">
        <w:rPr>
          <w:rFonts w:cs="Times New Roman"/>
        </w:rPr>
        <w:t>881 720 747</w:t>
      </w:r>
      <w:r w:rsidR="113E29D6" w:rsidRPr="00493755">
        <w:rPr>
          <w:rFonts w:cs="Times New Roman"/>
        </w:rPr>
        <w:t xml:space="preserve"> </w:t>
      </w:r>
      <w:r w:rsidR="113E29D6" w:rsidRPr="00493755">
        <w:rPr>
          <w:rFonts w:cs="Times New Roman"/>
          <w:i/>
          <w:iCs/>
        </w:rPr>
        <w:t>euro</w:t>
      </w:r>
      <w:r w:rsidR="4A210313" w:rsidRPr="00493755">
        <w:rPr>
          <w:rFonts w:cs="Times New Roman"/>
        </w:rPr>
        <w:t xml:space="preserve">. </w:t>
      </w:r>
      <w:r w:rsidR="127C392C" w:rsidRPr="00493755">
        <w:rPr>
          <w:rFonts w:cs="Times New Roman"/>
        </w:rPr>
        <w:t>Latvijas aktivitāšu īstenošanai</w:t>
      </w:r>
      <w:r w:rsidR="127C392C" w:rsidRPr="00493755">
        <w:rPr>
          <w:rFonts w:cs="Times New Roman"/>
          <w:i/>
          <w:iCs/>
        </w:rPr>
        <w:t xml:space="preserve"> </w:t>
      </w:r>
      <w:r w:rsidR="20308F1C" w:rsidRPr="00493755">
        <w:rPr>
          <w:rFonts w:cs="Times New Roman"/>
        </w:rPr>
        <w:t>EISI piešķīrums ir</w:t>
      </w:r>
      <w:r w:rsidR="20308F1C" w:rsidRPr="00493755">
        <w:rPr>
          <w:rFonts w:cs="Times New Roman"/>
          <w:i/>
          <w:iCs/>
        </w:rPr>
        <w:t xml:space="preserve"> </w:t>
      </w:r>
      <w:r w:rsidR="62C5B877" w:rsidRPr="00493755">
        <w:rPr>
          <w:rFonts w:cs="Times New Roman"/>
        </w:rPr>
        <w:t>382</w:t>
      </w:r>
      <w:r w:rsidR="00BA6F31" w:rsidRPr="00493755">
        <w:rPr>
          <w:rFonts w:cs="Times New Roman"/>
        </w:rPr>
        <w:t> </w:t>
      </w:r>
      <w:r w:rsidR="62C5B877" w:rsidRPr="00493755">
        <w:rPr>
          <w:rFonts w:cs="Times New Roman"/>
        </w:rPr>
        <w:t>393</w:t>
      </w:r>
      <w:r w:rsidR="00BA6F31" w:rsidRPr="00493755">
        <w:rPr>
          <w:rFonts w:cs="Times New Roman"/>
        </w:rPr>
        <w:t> </w:t>
      </w:r>
      <w:r w:rsidR="62C5B877" w:rsidRPr="00493755">
        <w:rPr>
          <w:rFonts w:cs="Times New Roman"/>
        </w:rPr>
        <w:t>713</w:t>
      </w:r>
      <w:r w:rsidR="113E29D6" w:rsidRPr="00493755">
        <w:rPr>
          <w:rFonts w:cs="Times New Roman"/>
        </w:rPr>
        <w:t xml:space="preserve"> </w:t>
      </w:r>
      <w:r w:rsidR="113E29D6" w:rsidRPr="00493755">
        <w:rPr>
          <w:rFonts w:cs="Times New Roman"/>
          <w:i/>
          <w:iCs/>
        </w:rPr>
        <w:t>euro</w:t>
      </w:r>
      <w:r w:rsidR="113E29D6" w:rsidRPr="00493755">
        <w:rPr>
          <w:rFonts w:cs="Times New Roman"/>
        </w:rPr>
        <w:t xml:space="preserve">, </w:t>
      </w:r>
      <w:r w:rsidR="04BFBD31" w:rsidRPr="00493755">
        <w:rPr>
          <w:rFonts w:cs="Times New Roman"/>
        </w:rPr>
        <w:t>ta</w:t>
      </w:r>
      <w:r w:rsidR="2012F1E3" w:rsidRPr="00493755">
        <w:rPr>
          <w:rFonts w:cs="Times New Roman"/>
        </w:rPr>
        <w:t xml:space="preserve">i </w:t>
      </w:r>
      <w:r w:rsidR="04BFBD31" w:rsidRPr="00493755">
        <w:rPr>
          <w:rFonts w:cs="Times New Roman"/>
        </w:rPr>
        <w:t xml:space="preserve">skaitā </w:t>
      </w:r>
      <w:r w:rsidR="113E29D6" w:rsidRPr="00493755">
        <w:rPr>
          <w:rFonts w:cs="Times New Roman"/>
        </w:rPr>
        <w:t xml:space="preserve">ārvalstu finanšu palīdzības daļa </w:t>
      </w:r>
      <w:r w:rsidR="00B743D9">
        <w:rPr>
          <w:rFonts w:cs="Times New Roman"/>
        </w:rPr>
        <w:t>–</w:t>
      </w:r>
      <w:r w:rsidR="16F38760" w:rsidRPr="00493755">
        <w:rPr>
          <w:rFonts w:cs="Times New Roman"/>
        </w:rPr>
        <w:t xml:space="preserve"> </w:t>
      </w:r>
      <w:r w:rsidR="62C5B877" w:rsidRPr="00493755">
        <w:rPr>
          <w:rFonts w:cs="Times New Roman"/>
        </w:rPr>
        <w:t>317 317 811</w:t>
      </w:r>
      <w:r w:rsidR="113E29D6" w:rsidRPr="00493755">
        <w:rPr>
          <w:rFonts w:cs="Times New Roman"/>
        </w:rPr>
        <w:t xml:space="preserve"> </w:t>
      </w:r>
      <w:r w:rsidR="113E29D6" w:rsidRPr="00493755">
        <w:rPr>
          <w:rFonts w:cs="Times New Roman"/>
          <w:i/>
          <w:iCs/>
        </w:rPr>
        <w:t>euro</w:t>
      </w:r>
      <w:r w:rsidR="113E29D6" w:rsidRPr="00493755">
        <w:rPr>
          <w:rFonts w:cs="Times New Roman"/>
        </w:rPr>
        <w:t>.</w:t>
      </w:r>
      <w:r w:rsidR="2682D2A8" w:rsidRPr="00493755">
        <w:rPr>
          <w:rFonts w:cs="Times New Roman"/>
        </w:rPr>
        <w:t xml:space="preserve"> </w:t>
      </w:r>
      <w:r w:rsidR="6C129C0B" w:rsidRPr="00493755">
        <w:rPr>
          <w:rFonts w:cs="Times New Roman"/>
        </w:rPr>
        <w:t xml:space="preserve">Uz </w:t>
      </w:r>
      <w:r w:rsidR="7A2D224F" w:rsidRPr="00493755">
        <w:rPr>
          <w:rFonts w:cs="Times New Roman"/>
        </w:rPr>
        <w:t>2022.</w:t>
      </w:r>
      <w:r w:rsidR="00BA6F31" w:rsidRPr="00493755">
        <w:rPr>
          <w:rFonts w:cs="Times New Roman"/>
        </w:rPr>
        <w:t> </w:t>
      </w:r>
      <w:r w:rsidR="7A2D224F" w:rsidRPr="00493755">
        <w:rPr>
          <w:rFonts w:cs="Times New Roman"/>
        </w:rPr>
        <w:t>gada</w:t>
      </w:r>
      <w:r w:rsidR="359CB1EC" w:rsidRPr="00493755">
        <w:rPr>
          <w:rFonts w:cs="Times New Roman"/>
        </w:rPr>
        <w:t xml:space="preserve"> 1.</w:t>
      </w:r>
      <w:r w:rsidR="00BA6F31" w:rsidRPr="00493755">
        <w:rPr>
          <w:rFonts w:cs="Times New Roman"/>
        </w:rPr>
        <w:t> </w:t>
      </w:r>
      <w:r w:rsidR="359CB1EC" w:rsidRPr="00493755">
        <w:rPr>
          <w:rFonts w:cs="Times New Roman"/>
        </w:rPr>
        <w:t xml:space="preserve">janvāri </w:t>
      </w:r>
      <w:r w:rsidR="3FD97FE6" w:rsidRPr="00493755">
        <w:rPr>
          <w:rFonts w:cs="Times New Roman"/>
        </w:rPr>
        <w:t>Latvija ir apguvusi 24</w:t>
      </w:r>
      <w:r w:rsidR="3FD97FE6" w:rsidRPr="00493755">
        <w:rPr>
          <w:rFonts w:cs="Times New Roman"/>
          <w:color w:val="FF0000"/>
        </w:rPr>
        <w:t xml:space="preserve"> </w:t>
      </w:r>
      <w:r w:rsidR="4FD8B31A" w:rsidRPr="00493755">
        <w:rPr>
          <w:rFonts w:cs="Times New Roman"/>
        </w:rPr>
        <w:t xml:space="preserve">procentus </w:t>
      </w:r>
      <w:r w:rsidR="544CCACD" w:rsidRPr="00493755">
        <w:rPr>
          <w:rFonts w:cs="Times New Roman"/>
        </w:rPr>
        <w:t xml:space="preserve">finanšu piešķīruma. </w:t>
      </w:r>
      <w:r w:rsidR="3F9BFC92" w:rsidRPr="00493755">
        <w:rPr>
          <w:rFonts w:cs="Times New Roman"/>
        </w:rPr>
        <w:t>Detalizēt</w:t>
      </w:r>
      <w:r w:rsidR="0DDDEC00" w:rsidRPr="00493755">
        <w:rPr>
          <w:rFonts w:cs="Times New Roman"/>
        </w:rPr>
        <w:t xml:space="preserve">a EISI piešķīruma </w:t>
      </w:r>
      <w:r w:rsidR="5BC03B8F" w:rsidRPr="00493755">
        <w:rPr>
          <w:rFonts w:cs="Times New Roman"/>
        </w:rPr>
        <w:t>apguve ir apkopota 1.</w:t>
      </w:r>
      <w:r w:rsidR="00BA6F31" w:rsidRPr="00493755">
        <w:rPr>
          <w:rFonts w:cs="Times New Roman"/>
        </w:rPr>
        <w:t> </w:t>
      </w:r>
      <w:r w:rsidR="5BC03B8F" w:rsidRPr="00493755">
        <w:rPr>
          <w:rFonts w:cs="Times New Roman"/>
        </w:rPr>
        <w:t>tabulā.</w:t>
      </w:r>
    </w:p>
    <w:p w14:paraId="72CADA95" w14:textId="5BCD63B2" w:rsidR="3606186A" w:rsidRPr="00493755" w:rsidRDefault="3606186A" w:rsidP="3606186A">
      <w:pPr>
        <w:pStyle w:val="ListParagraph"/>
        <w:ind w:left="0" w:firstLine="567"/>
        <w:rPr>
          <w:rFonts w:cs="Times New Roman"/>
          <w:szCs w:val="24"/>
        </w:rPr>
      </w:pPr>
    </w:p>
    <w:p w14:paraId="5790C5B3" w14:textId="31BDAE6B" w:rsidR="00C871BB" w:rsidRPr="00493755" w:rsidRDefault="00733013" w:rsidP="008961CF">
      <w:pPr>
        <w:pStyle w:val="ListParagraph"/>
        <w:ind w:left="927"/>
        <w:jc w:val="right"/>
        <w:rPr>
          <w:rFonts w:cs="Times New Roman"/>
          <w:sz w:val="20"/>
          <w:szCs w:val="20"/>
        </w:rPr>
      </w:pPr>
      <w:r w:rsidRPr="00493755">
        <w:rPr>
          <w:rFonts w:cs="Times New Roman"/>
          <w:sz w:val="20"/>
          <w:szCs w:val="20"/>
        </w:rPr>
        <w:t>1.</w:t>
      </w:r>
      <w:r w:rsidR="00BA6F31" w:rsidRPr="00493755">
        <w:rPr>
          <w:rFonts w:cs="Times New Roman"/>
          <w:sz w:val="20"/>
          <w:szCs w:val="20"/>
        </w:rPr>
        <w:t> </w:t>
      </w:r>
      <w:r w:rsidRPr="00493755">
        <w:rPr>
          <w:rFonts w:cs="Times New Roman"/>
          <w:sz w:val="20"/>
          <w:szCs w:val="20"/>
        </w:rPr>
        <w:t>tabula EISI piešķīruma apguve</w:t>
      </w:r>
    </w:p>
    <w:tbl>
      <w:tblPr>
        <w:tblStyle w:val="TableGrid"/>
        <w:tblW w:w="0" w:type="auto"/>
        <w:tblLook w:val="04A0" w:firstRow="1" w:lastRow="0" w:firstColumn="1" w:lastColumn="0" w:noHBand="0" w:noVBand="1"/>
      </w:tblPr>
      <w:tblGrid>
        <w:gridCol w:w="1271"/>
        <w:gridCol w:w="2835"/>
        <w:gridCol w:w="1418"/>
        <w:gridCol w:w="1134"/>
        <w:gridCol w:w="2120"/>
      </w:tblGrid>
      <w:tr w:rsidR="005C43FB" w:rsidRPr="00493755" w14:paraId="0B6AE2BE" w14:textId="77777777" w:rsidTr="007F1878">
        <w:tc>
          <w:tcPr>
            <w:tcW w:w="1271" w:type="dxa"/>
          </w:tcPr>
          <w:p w14:paraId="7521CEFE" w14:textId="0B60DBE0" w:rsidR="005C43FB" w:rsidRPr="00493755" w:rsidRDefault="001004D3" w:rsidP="00FE3B35">
            <w:pPr>
              <w:jc w:val="both"/>
              <w:rPr>
                <w:rFonts w:cs="Times New Roman"/>
                <w:sz w:val="20"/>
                <w:szCs w:val="20"/>
              </w:rPr>
            </w:pPr>
            <w:r w:rsidRPr="00493755">
              <w:rPr>
                <w:rFonts w:cs="Times New Roman"/>
                <w:sz w:val="20"/>
                <w:szCs w:val="20"/>
              </w:rPr>
              <w:t>CEF līgums</w:t>
            </w:r>
          </w:p>
        </w:tc>
        <w:tc>
          <w:tcPr>
            <w:tcW w:w="2835" w:type="dxa"/>
          </w:tcPr>
          <w:p w14:paraId="2D0EE9C6" w14:textId="2BC9A5E1" w:rsidR="005C43FB" w:rsidRPr="00493755" w:rsidRDefault="008348FB" w:rsidP="00493755">
            <w:pPr>
              <w:jc w:val="center"/>
              <w:rPr>
                <w:rFonts w:cs="Times New Roman"/>
                <w:sz w:val="20"/>
                <w:szCs w:val="20"/>
              </w:rPr>
            </w:pPr>
            <w:r w:rsidRPr="00493755">
              <w:rPr>
                <w:rFonts w:cs="Times New Roman"/>
                <w:sz w:val="20"/>
                <w:szCs w:val="20"/>
              </w:rPr>
              <w:t xml:space="preserve">Piešķīrums </w:t>
            </w:r>
            <w:r w:rsidR="00420766" w:rsidRPr="00493755">
              <w:rPr>
                <w:rFonts w:cs="Times New Roman"/>
                <w:i/>
                <w:iCs/>
                <w:sz w:val="20"/>
                <w:szCs w:val="20"/>
              </w:rPr>
              <w:t>euro</w:t>
            </w:r>
          </w:p>
        </w:tc>
        <w:tc>
          <w:tcPr>
            <w:tcW w:w="1418" w:type="dxa"/>
          </w:tcPr>
          <w:p w14:paraId="302B2261" w14:textId="5DFE2BD5" w:rsidR="005C43FB" w:rsidRPr="00493755" w:rsidRDefault="008348FB" w:rsidP="00FE3B35">
            <w:pPr>
              <w:jc w:val="both"/>
              <w:rPr>
                <w:rFonts w:cs="Times New Roman"/>
                <w:sz w:val="20"/>
                <w:szCs w:val="20"/>
              </w:rPr>
            </w:pPr>
            <w:r w:rsidRPr="00493755">
              <w:rPr>
                <w:rFonts w:cs="Times New Roman"/>
                <w:sz w:val="20"/>
                <w:szCs w:val="20"/>
              </w:rPr>
              <w:t xml:space="preserve">Izlietots </w:t>
            </w:r>
            <w:r w:rsidRPr="00493755">
              <w:rPr>
                <w:rFonts w:cs="Times New Roman"/>
                <w:i/>
                <w:iCs/>
                <w:sz w:val="20"/>
                <w:szCs w:val="20"/>
              </w:rPr>
              <w:t>euro</w:t>
            </w:r>
          </w:p>
        </w:tc>
        <w:tc>
          <w:tcPr>
            <w:tcW w:w="1134" w:type="dxa"/>
          </w:tcPr>
          <w:p w14:paraId="01D2A7BA" w14:textId="79BB5157" w:rsidR="005C43FB" w:rsidRPr="00493755" w:rsidRDefault="00B56990" w:rsidP="00FE3B35">
            <w:pPr>
              <w:jc w:val="both"/>
              <w:rPr>
                <w:rFonts w:cs="Times New Roman"/>
                <w:sz w:val="20"/>
                <w:szCs w:val="20"/>
              </w:rPr>
            </w:pPr>
            <w:r w:rsidRPr="00493755">
              <w:rPr>
                <w:rFonts w:cs="Times New Roman"/>
                <w:sz w:val="20"/>
                <w:szCs w:val="20"/>
              </w:rPr>
              <w:t xml:space="preserve">Izlietots % </w:t>
            </w:r>
          </w:p>
        </w:tc>
        <w:tc>
          <w:tcPr>
            <w:tcW w:w="2120" w:type="dxa"/>
          </w:tcPr>
          <w:p w14:paraId="09793ECD" w14:textId="3593768C" w:rsidR="005C43FB" w:rsidRPr="00493755" w:rsidRDefault="00420766" w:rsidP="00FE3B35">
            <w:pPr>
              <w:jc w:val="both"/>
              <w:rPr>
                <w:rFonts w:cs="Times New Roman"/>
                <w:sz w:val="20"/>
                <w:szCs w:val="20"/>
              </w:rPr>
            </w:pPr>
            <w:r w:rsidRPr="00493755">
              <w:rPr>
                <w:rFonts w:cs="Times New Roman"/>
                <w:sz w:val="20"/>
                <w:szCs w:val="20"/>
              </w:rPr>
              <w:t xml:space="preserve">CEF līgums </w:t>
            </w:r>
            <w:r w:rsidR="003965D0" w:rsidRPr="00493755">
              <w:rPr>
                <w:rFonts w:cs="Times New Roman"/>
                <w:sz w:val="20"/>
                <w:szCs w:val="20"/>
              </w:rPr>
              <w:t>noslēdzas</w:t>
            </w:r>
          </w:p>
        </w:tc>
      </w:tr>
      <w:tr w:rsidR="005C43FB" w:rsidRPr="00493755" w14:paraId="65A9774D" w14:textId="77777777" w:rsidTr="007F1878">
        <w:tc>
          <w:tcPr>
            <w:tcW w:w="1271" w:type="dxa"/>
          </w:tcPr>
          <w:p w14:paraId="1E895A33" w14:textId="5B592E1A" w:rsidR="005C43FB" w:rsidRPr="00493755" w:rsidRDefault="00B56990" w:rsidP="00FE3B35">
            <w:pPr>
              <w:jc w:val="both"/>
              <w:rPr>
                <w:rFonts w:cs="Times New Roman"/>
                <w:sz w:val="20"/>
                <w:szCs w:val="20"/>
              </w:rPr>
            </w:pPr>
            <w:r w:rsidRPr="00493755">
              <w:rPr>
                <w:rFonts w:cs="Times New Roman"/>
                <w:sz w:val="20"/>
                <w:szCs w:val="20"/>
              </w:rPr>
              <w:t>CEF1</w:t>
            </w:r>
          </w:p>
        </w:tc>
        <w:tc>
          <w:tcPr>
            <w:tcW w:w="2835" w:type="dxa"/>
          </w:tcPr>
          <w:p w14:paraId="1656102E" w14:textId="54ED9C76" w:rsidR="005C43FB" w:rsidRPr="00493755" w:rsidRDefault="3606186A" w:rsidP="007F1878">
            <w:pPr>
              <w:jc w:val="center"/>
              <w:rPr>
                <w:rFonts w:cs="Times New Roman"/>
                <w:sz w:val="20"/>
                <w:szCs w:val="20"/>
              </w:rPr>
            </w:pPr>
            <w:r w:rsidRPr="00493755">
              <w:rPr>
                <w:rFonts w:cs="Times New Roman"/>
                <w:sz w:val="20"/>
                <w:szCs w:val="20"/>
              </w:rPr>
              <w:t>287 407 726</w:t>
            </w:r>
          </w:p>
        </w:tc>
        <w:tc>
          <w:tcPr>
            <w:tcW w:w="1418" w:type="dxa"/>
          </w:tcPr>
          <w:p w14:paraId="7EB76363" w14:textId="65CF5450" w:rsidR="005C43FB" w:rsidRPr="00493755" w:rsidRDefault="3606186A" w:rsidP="007F1878">
            <w:pPr>
              <w:jc w:val="center"/>
              <w:rPr>
                <w:rFonts w:cs="Times New Roman"/>
                <w:sz w:val="20"/>
                <w:szCs w:val="20"/>
              </w:rPr>
            </w:pPr>
            <w:r w:rsidRPr="00493755">
              <w:rPr>
                <w:rFonts w:cs="Times New Roman"/>
                <w:sz w:val="20"/>
                <w:szCs w:val="20"/>
              </w:rPr>
              <w:t>86 678 091</w:t>
            </w:r>
          </w:p>
        </w:tc>
        <w:tc>
          <w:tcPr>
            <w:tcW w:w="1134" w:type="dxa"/>
          </w:tcPr>
          <w:p w14:paraId="5C6CD363" w14:textId="0BB67B60" w:rsidR="005C43FB" w:rsidRPr="00493755" w:rsidRDefault="3606186A" w:rsidP="007F1878">
            <w:pPr>
              <w:jc w:val="center"/>
              <w:rPr>
                <w:rFonts w:cs="Times New Roman"/>
                <w:sz w:val="20"/>
                <w:szCs w:val="20"/>
              </w:rPr>
            </w:pPr>
            <w:r w:rsidRPr="00493755">
              <w:rPr>
                <w:rFonts w:cs="Times New Roman"/>
                <w:sz w:val="20"/>
                <w:szCs w:val="20"/>
              </w:rPr>
              <w:t>30</w:t>
            </w:r>
          </w:p>
        </w:tc>
        <w:tc>
          <w:tcPr>
            <w:tcW w:w="2120" w:type="dxa"/>
          </w:tcPr>
          <w:p w14:paraId="55F651B5" w14:textId="7BD82727" w:rsidR="005C43FB" w:rsidRPr="00493755" w:rsidRDefault="3606186A" w:rsidP="007F1878">
            <w:pPr>
              <w:jc w:val="center"/>
              <w:rPr>
                <w:rFonts w:cs="Times New Roman"/>
                <w:sz w:val="20"/>
                <w:szCs w:val="20"/>
              </w:rPr>
            </w:pPr>
            <w:r w:rsidRPr="00493755">
              <w:rPr>
                <w:rFonts w:cs="Times New Roman"/>
                <w:sz w:val="20"/>
                <w:szCs w:val="20"/>
              </w:rPr>
              <w:t>31.12.2022*</w:t>
            </w:r>
          </w:p>
        </w:tc>
      </w:tr>
      <w:tr w:rsidR="005C43FB" w:rsidRPr="00493755" w14:paraId="60C4EF9B" w14:textId="77777777" w:rsidTr="007F1878">
        <w:tc>
          <w:tcPr>
            <w:tcW w:w="1271" w:type="dxa"/>
          </w:tcPr>
          <w:p w14:paraId="3152AA0D" w14:textId="41177F0C" w:rsidR="005C43FB" w:rsidRPr="00493755" w:rsidRDefault="00B56990" w:rsidP="00FE3B35">
            <w:pPr>
              <w:jc w:val="both"/>
              <w:rPr>
                <w:rFonts w:cs="Times New Roman"/>
                <w:sz w:val="20"/>
                <w:szCs w:val="20"/>
              </w:rPr>
            </w:pPr>
            <w:r w:rsidRPr="00493755">
              <w:rPr>
                <w:rFonts w:cs="Times New Roman"/>
                <w:sz w:val="20"/>
                <w:szCs w:val="20"/>
              </w:rPr>
              <w:t>CEF2</w:t>
            </w:r>
          </w:p>
        </w:tc>
        <w:tc>
          <w:tcPr>
            <w:tcW w:w="2835" w:type="dxa"/>
          </w:tcPr>
          <w:p w14:paraId="26A31D0C" w14:textId="59C89C08" w:rsidR="005C43FB" w:rsidRPr="00493755" w:rsidRDefault="3606186A" w:rsidP="007F1878">
            <w:pPr>
              <w:jc w:val="center"/>
              <w:rPr>
                <w:rFonts w:cs="Times New Roman"/>
                <w:sz w:val="20"/>
                <w:szCs w:val="20"/>
              </w:rPr>
            </w:pPr>
            <w:r w:rsidRPr="00493755">
              <w:rPr>
                <w:rFonts w:cs="Times New Roman"/>
                <w:sz w:val="20"/>
                <w:szCs w:val="20"/>
              </w:rPr>
              <w:t>579 720</w:t>
            </w:r>
          </w:p>
          <w:p w14:paraId="4B528FD6" w14:textId="16E77616" w:rsidR="005C43FB" w:rsidRPr="00493755" w:rsidRDefault="005C43FB" w:rsidP="007F1878">
            <w:pPr>
              <w:jc w:val="center"/>
              <w:rPr>
                <w:rFonts w:cs="Times New Roman"/>
                <w:sz w:val="20"/>
                <w:szCs w:val="20"/>
              </w:rPr>
            </w:pPr>
          </w:p>
        </w:tc>
        <w:tc>
          <w:tcPr>
            <w:tcW w:w="1418" w:type="dxa"/>
          </w:tcPr>
          <w:p w14:paraId="3964D9C9" w14:textId="4BB907DB" w:rsidR="005C43FB" w:rsidRPr="00493755" w:rsidRDefault="3606186A" w:rsidP="007F1878">
            <w:pPr>
              <w:jc w:val="center"/>
              <w:rPr>
                <w:rFonts w:cs="Times New Roman"/>
                <w:sz w:val="20"/>
                <w:szCs w:val="20"/>
              </w:rPr>
            </w:pPr>
            <w:r w:rsidRPr="00493755">
              <w:rPr>
                <w:rFonts w:cs="Times New Roman"/>
                <w:sz w:val="20"/>
                <w:szCs w:val="20"/>
              </w:rPr>
              <w:t>484 999</w:t>
            </w:r>
          </w:p>
        </w:tc>
        <w:tc>
          <w:tcPr>
            <w:tcW w:w="1134" w:type="dxa"/>
          </w:tcPr>
          <w:p w14:paraId="6D03D413" w14:textId="521936C8" w:rsidR="005C43FB" w:rsidRPr="00493755" w:rsidRDefault="3606186A" w:rsidP="007F1878">
            <w:pPr>
              <w:jc w:val="center"/>
              <w:rPr>
                <w:rFonts w:cs="Times New Roman"/>
                <w:sz w:val="20"/>
                <w:szCs w:val="20"/>
              </w:rPr>
            </w:pPr>
            <w:r w:rsidRPr="00493755">
              <w:rPr>
                <w:rFonts w:cs="Times New Roman"/>
                <w:sz w:val="20"/>
                <w:szCs w:val="20"/>
              </w:rPr>
              <w:t>84</w:t>
            </w:r>
          </w:p>
        </w:tc>
        <w:tc>
          <w:tcPr>
            <w:tcW w:w="2120" w:type="dxa"/>
          </w:tcPr>
          <w:p w14:paraId="46EBD7DC" w14:textId="7B96FD93" w:rsidR="005C43FB" w:rsidRPr="00493755" w:rsidRDefault="3606186A" w:rsidP="007F1878">
            <w:pPr>
              <w:jc w:val="center"/>
              <w:rPr>
                <w:rFonts w:cs="Times New Roman"/>
                <w:sz w:val="20"/>
                <w:szCs w:val="20"/>
              </w:rPr>
            </w:pPr>
            <w:r w:rsidRPr="00493755">
              <w:rPr>
                <w:rFonts w:cs="Times New Roman"/>
                <w:sz w:val="20"/>
                <w:szCs w:val="20"/>
              </w:rPr>
              <w:t>30.06.2023</w:t>
            </w:r>
          </w:p>
        </w:tc>
      </w:tr>
      <w:tr w:rsidR="005C43FB" w:rsidRPr="00493755" w14:paraId="4D1C6D5C" w14:textId="77777777" w:rsidTr="007F1878">
        <w:tc>
          <w:tcPr>
            <w:tcW w:w="1271" w:type="dxa"/>
          </w:tcPr>
          <w:p w14:paraId="7E290198" w14:textId="7264FF1B" w:rsidR="005C43FB" w:rsidRPr="00493755" w:rsidRDefault="00B56990" w:rsidP="00FE3B35">
            <w:pPr>
              <w:jc w:val="both"/>
              <w:rPr>
                <w:rFonts w:cs="Times New Roman"/>
                <w:sz w:val="20"/>
                <w:szCs w:val="20"/>
              </w:rPr>
            </w:pPr>
            <w:r w:rsidRPr="00493755">
              <w:rPr>
                <w:rFonts w:cs="Times New Roman"/>
                <w:sz w:val="20"/>
                <w:szCs w:val="20"/>
              </w:rPr>
              <w:t>CEF3</w:t>
            </w:r>
          </w:p>
        </w:tc>
        <w:tc>
          <w:tcPr>
            <w:tcW w:w="2835" w:type="dxa"/>
          </w:tcPr>
          <w:p w14:paraId="062F20D4" w14:textId="3F04B8F0" w:rsidR="005C43FB" w:rsidRPr="00493755" w:rsidRDefault="3606186A" w:rsidP="007F1878">
            <w:pPr>
              <w:jc w:val="center"/>
              <w:rPr>
                <w:rFonts w:cs="Times New Roman"/>
                <w:sz w:val="20"/>
                <w:szCs w:val="20"/>
              </w:rPr>
            </w:pPr>
            <w:r w:rsidRPr="00493755">
              <w:rPr>
                <w:rFonts w:cs="Times New Roman"/>
                <w:sz w:val="20"/>
                <w:szCs w:val="20"/>
              </w:rPr>
              <w:t>4 111 449</w:t>
            </w:r>
          </w:p>
        </w:tc>
        <w:tc>
          <w:tcPr>
            <w:tcW w:w="1418" w:type="dxa"/>
          </w:tcPr>
          <w:p w14:paraId="590B1B30" w14:textId="6FC06F97" w:rsidR="005C43FB" w:rsidRPr="00493755" w:rsidRDefault="3606186A" w:rsidP="007F1878">
            <w:pPr>
              <w:jc w:val="center"/>
              <w:rPr>
                <w:rFonts w:cs="Times New Roman"/>
                <w:sz w:val="20"/>
                <w:szCs w:val="20"/>
              </w:rPr>
            </w:pPr>
            <w:r w:rsidRPr="00493755">
              <w:rPr>
                <w:rFonts w:cs="Times New Roman"/>
                <w:sz w:val="20"/>
                <w:szCs w:val="20"/>
              </w:rPr>
              <w:t>1 504 419</w:t>
            </w:r>
          </w:p>
        </w:tc>
        <w:tc>
          <w:tcPr>
            <w:tcW w:w="1134" w:type="dxa"/>
          </w:tcPr>
          <w:p w14:paraId="1A1EE6CB" w14:textId="13ADCB13" w:rsidR="005C43FB" w:rsidRPr="00493755" w:rsidRDefault="3606186A" w:rsidP="007F1878">
            <w:pPr>
              <w:jc w:val="center"/>
              <w:rPr>
                <w:rFonts w:cs="Times New Roman"/>
                <w:sz w:val="20"/>
                <w:szCs w:val="20"/>
              </w:rPr>
            </w:pPr>
            <w:r w:rsidRPr="00493755">
              <w:rPr>
                <w:rFonts w:cs="Times New Roman"/>
                <w:sz w:val="20"/>
                <w:szCs w:val="20"/>
              </w:rPr>
              <w:t>37</w:t>
            </w:r>
          </w:p>
        </w:tc>
        <w:tc>
          <w:tcPr>
            <w:tcW w:w="2120" w:type="dxa"/>
          </w:tcPr>
          <w:p w14:paraId="2E88B1DE" w14:textId="53006637" w:rsidR="005C43FB" w:rsidRPr="00493755" w:rsidRDefault="3606186A" w:rsidP="007F1878">
            <w:pPr>
              <w:jc w:val="center"/>
              <w:rPr>
                <w:rFonts w:cs="Times New Roman"/>
                <w:sz w:val="20"/>
                <w:szCs w:val="20"/>
              </w:rPr>
            </w:pPr>
            <w:r w:rsidRPr="00493755">
              <w:rPr>
                <w:rFonts w:cs="Times New Roman"/>
                <w:sz w:val="20"/>
                <w:szCs w:val="20"/>
              </w:rPr>
              <w:t>31.12.2023</w:t>
            </w:r>
          </w:p>
        </w:tc>
      </w:tr>
      <w:tr w:rsidR="005C43FB" w:rsidRPr="00493755" w14:paraId="43E6DB50" w14:textId="77777777" w:rsidTr="007F1878">
        <w:tc>
          <w:tcPr>
            <w:tcW w:w="1271" w:type="dxa"/>
          </w:tcPr>
          <w:p w14:paraId="569C48D9" w14:textId="72756E60" w:rsidR="005C43FB" w:rsidRPr="00493755" w:rsidRDefault="005E7560" w:rsidP="00FE3B35">
            <w:pPr>
              <w:jc w:val="both"/>
              <w:rPr>
                <w:rFonts w:cs="Times New Roman"/>
                <w:sz w:val="20"/>
                <w:szCs w:val="20"/>
              </w:rPr>
            </w:pPr>
            <w:r w:rsidRPr="00493755">
              <w:rPr>
                <w:rFonts w:cs="Times New Roman"/>
                <w:sz w:val="20"/>
                <w:szCs w:val="20"/>
              </w:rPr>
              <w:t>CEF6-S</w:t>
            </w:r>
          </w:p>
        </w:tc>
        <w:tc>
          <w:tcPr>
            <w:tcW w:w="2835" w:type="dxa"/>
          </w:tcPr>
          <w:p w14:paraId="44A39249" w14:textId="3B525688" w:rsidR="005C43FB" w:rsidRPr="00493755" w:rsidRDefault="3606186A" w:rsidP="007F1878">
            <w:pPr>
              <w:jc w:val="center"/>
              <w:rPr>
                <w:rFonts w:cs="Times New Roman"/>
                <w:sz w:val="20"/>
                <w:szCs w:val="20"/>
              </w:rPr>
            </w:pPr>
            <w:r w:rsidRPr="00493755">
              <w:rPr>
                <w:rFonts w:cs="Times New Roman"/>
                <w:sz w:val="20"/>
                <w:szCs w:val="20"/>
              </w:rPr>
              <w:t>65 246 192</w:t>
            </w:r>
          </w:p>
        </w:tc>
        <w:tc>
          <w:tcPr>
            <w:tcW w:w="1418" w:type="dxa"/>
          </w:tcPr>
          <w:p w14:paraId="522FD21C" w14:textId="7BD65D9F" w:rsidR="005C43FB" w:rsidRPr="00493755" w:rsidRDefault="3606186A" w:rsidP="007F1878">
            <w:pPr>
              <w:jc w:val="center"/>
              <w:rPr>
                <w:rFonts w:cs="Times New Roman"/>
                <w:sz w:val="20"/>
                <w:szCs w:val="20"/>
              </w:rPr>
            </w:pPr>
            <w:r w:rsidRPr="00493755">
              <w:rPr>
                <w:rFonts w:cs="Times New Roman"/>
                <w:sz w:val="20"/>
                <w:szCs w:val="20"/>
              </w:rPr>
              <w:t>4 349 606</w:t>
            </w:r>
          </w:p>
        </w:tc>
        <w:tc>
          <w:tcPr>
            <w:tcW w:w="1134" w:type="dxa"/>
          </w:tcPr>
          <w:p w14:paraId="0F9C62FA" w14:textId="7B688770" w:rsidR="005C43FB" w:rsidRPr="00493755" w:rsidRDefault="3606186A" w:rsidP="007F1878">
            <w:pPr>
              <w:jc w:val="center"/>
              <w:rPr>
                <w:rFonts w:cs="Times New Roman"/>
                <w:sz w:val="20"/>
                <w:szCs w:val="20"/>
              </w:rPr>
            </w:pPr>
            <w:r w:rsidRPr="00493755">
              <w:rPr>
                <w:rFonts w:cs="Times New Roman"/>
                <w:sz w:val="20"/>
                <w:szCs w:val="20"/>
              </w:rPr>
              <w:t>7</w:t>
            </w:r>
          </w:p>
        </w:tc>
        <w:tc>
          <w:tcPr>
            <w:tcW w:w="2120" w:type="dxa"/>
          </w:tcPr>
          <w:p w14:paraId="0726F711" w14:textId="53006637" w:rsidR="005C43FB" w:rsidRPr="00493755" w:rsidRDefault="3606186A" w:rsidP="007F1878">
            <w:pPr>
              <w:jc w:val="center"/>
              <w:rPr>
                <w:rFonts w:cs="Times New Roman"/>
                <w:sz w:val="20"/>
                <w:szCs w:val="20"/>
              </w:rPr>
            </w:pPr>
            <w:r w:rsidRPr="00493755">
              <w:rPr>
                <w:rFonts w:cs="Times New Roman"/>
                <w:sz w:val="20"/>
                <w:szCs w:val="20"/>
              </w:rPr>
              <w:t>31.12.2023</w:t>
            </w:r>
          </w:p>
          <w:p w14:paraId="7D8DCC63" w14:textId="66465777" w:rsidR="005C43FB" w:rsidRPr="00493755" w:rsidRDefault="005C43FB" w:rsidP="007F1878">
            <w:pPr>
              <w:jc w:val="center"/>
              <w:rPr>
                <w:rFonts w:cs="Times New Roman"/>
                <w:sz w:val="20"/>
                <w:szCs w:val="20"/>
              </w:rPr>
            </w:pPr>
          </w:p>
        </w:tc>
      </w:tr>
      <w:tr w:rsidR="005C43FB" w:rsidRPr="00493755" w14:paraId="738E3538" w14:textId="77777777" w:rsidTr="007F1878">
        <w:tc>
          <w:tcPr>
            <w:tcW w:w="1271" w:type="dxa"/>
          </w:tcPr>
          <w:p w14:paraId="0A7874E4" w14:textId="20579D79" w:rsidR="005C43FB" w:rsidRPr="00493755" w:rsidRDefault="005E7560" w:rsidP="00FE3B35">
            <w:pPr>
              <w:jc w:val="both"/>
              <w:rPr>
                <w:rFonts w:cs="Times New Roman"/>
                <w:sz w:val="20"/>
                <w:szCs w:val="20"/>
              </w:rPr>
            </w:pPr>
            <w:r w:rsidRPr="00493755">
              <w:rPr>
                <w:rFonts w:cs="Times New Roman"/>
                <w:sz w:val="20"/>
                <w:szCs w:val="20"/>
              </w:rPr>
              <w:t>CEF6-W</w:t>
            </w:r>
          </w:p>
        </w:tc>
        <w:tc>
          <w:tcPr>
            <w:tcW w:w="2835" w:type="dxa"/>
          </w:tcPr>
          <w:p w14:paraId="4A2906B9" w14:textId="6D07009A" w:rsidR="005C43FB" w:rsidRPr="00493755" w:rsidRDefault="3606186A" w:rsidP="007F1878">
            <w:pPr>
              <w:jc w:val="center"/>
              <w:rPr>
                <w:rFonts w:cs="Times New Roman"/>
                <w:sz w:val="20"/>
                <w:szCs w:val="20"/>
              </w:rPr>
            </w:pPr>
            <w:r w:rsidRPr="00493755">
              <w:rPr>
                <w:rFonts w:cs="Times New Roman"/>
                <w:sz w:val="20"/>
                <w:szCs w:val="20"/>
              </w:rPr>
              <w:t>19 654 976</w:t>
            </w:r>
          </w:p>
        </w:tc>
        <w:tc>
          <w:tcPr>
            <w:tcW w:w="1418" w:type="dxa"/>
          </w:tcPr>
          <w:p w14:paraId="22F3D461" w14:textId="608B832A" w:rsidR="005C43FB" w:rsidRPr="00493755" w:rsidRDefault="3606186A" w:rsidP="007F1878">
            <w:pPr>
              <w:jc w:val="center"/>
              <w:rPr>
                <w:rFonts w:cs="Times New Roman"/>
                <w:sz w:val="20"/>
                <w:szCs w:val="20"/>
              </w:rPr>
            </w:pPr>
            <w:r w:rsidRPr="00493755">
              <w:rPr>
                <w:rFonts w:cs="Times New Roman"/>
                <w:sz w:val="20"/>
                <w:szCs w:val="20"/>
              </w:rPr>
              <w:t>360 683</w:t>
            </w:r>
          </w:p>
        </w:tc>
        <w:tc>
          <w:tcPr>
            <w:tcW w:w="1134" w:type="dxa"/>
          </w:tcPr>
          <w:p w14:paraId="7F2759A9" w14:textId="5437E3B8" w:rsidR="005C43FB" w:rsidRPr="00493755" w:rsidRDefault="3606186A" w:rsidP="007F1878">
            <w:pPr>
              <w:jc w:val="center"/>
              <w:rPr>
                <w:rFonts w:cs="Times New Roman"/>
                <w:sz w:val="20"/>
                <w:szCs w:val="20"/>
              </w:rPr>
            </w:pPr>
            <w:r w:rsidRPr="00493755">
              <w:rPr>
                <w:rFonts w:cs="Times New Roman"/>
                <w:sz w:val="20"/>
                <w:szCs w:val="20"/>
              </w:rPr>
              <w:t>2</w:t>
            </w:r>
          </w:p>
        </w:tc>
        <w:tc>
          <w:tcPr>
            <w:tcW w:w="2120" w:type="dxa"/>
          </w:tcPr>
          <w:p w14:paraId="31BF5755" w14:textId="53006637" w:rsidR="005C43FB" w:rsidRPr="00493755" w:rsidRDefault="3606186A" w:rsidP="007F1878">
            <w:pPr>
              <w:jc w:val="center"/>
              <w:rPr>
                <w:rFonts w:cs="Times New Roman"/>
                <w:sz w:val="20"/>
                <w:szCs w:val="20"/>
              </w:rPr>
            </w:pPr>
            <w:r w:rsidRPr="00493755">
              <w:rPr>
                <w:rFonts w:cs="Times New Roman"/>
                <w:sz w:val="20"/>
                <w:szCs w:val="20"/>
              </w:rPr>
              <w:t>31.12.2023</w:t>
            </w:r>
          </w:p>
          <w:p w14:paraId="23A7B317" w14:textId="31A9EB57" w:rsidR="005C43FB" w:rsidRPr="00493755" w:rsidRDefault="005C43FB" w:rsidP="007F1878">
            <w:pPr>
              <w:jc w:val="center"/>
              <w:rPr>
                <w:rFonts w:cs="Times New Roman"/>
                <w:sz w:val="20"/>
                <w:szCs w:val="20"/>
              </w:rPr>
            </w:pPr>
          </w:p>
        </w:tc>
      </w:tr>
      <w:tr w:rsidR="005C43FB" w:rsidRPr="00493755" w14:paraId="66213915" w14:textId="77777777" w:rsidTr="007F1878">
        <w:tc>
          <w:tcPr>
            <w:tcW w:w="1271" w:type="dxa"/>
          </w:tcPr>
          <w:p w14:paraId="319CAA91" w14:textId="50ECEF23" w:rsidR="005C43FB" w:rsidRPr="00493755" w:rsidRDefault="005E7560" w:rsidP="00FE3B35">
            <w:pPr>
              <w:jc w:val="both"/>
              <w:rPr>
                <w:rFonts w:cs="Times New Roman"/>
                <w:sz w:val="20"/>
                <w:szCs w:val="20"/>
              </w:rPr>
            </w:pPr>
            <w:r w:rsidRPr="00493755">
              <w:rPr>
                <w:rFonts w:cs="Times New Roman"/>
                <w:sz w:val="20"/>
                <w:szCs w:val="20"/>
              </w:rPr>
              <w:t>CEF7</w:t>
            </w:r>
          </w:p>
        </w:tc>
        <w:tc>
          <w:tcPr>
            <w:tcW w:w="2835" w:type="dxa"/>
          </w:tcPr>
          <w:p w14:paraId="62485504" w14:textId="3B2E91D4" w:rsidR="005C43FB" w:rsidRPr="00493755" w:rsidRDefault="3606186A" w:rsidP="007F1878">
            <w:pPr>
              <w:jc w:val="center"/>
              <w:rPr>
                <w:rFonts w:cs="Times New Roman"/>
                <w:sz w:val="20"/>
                <w:szCs w:val="20"/>
              </w:rPr>
            </w:pPr>
            <w:r w:rsidRPr="00493755">
              <w:rPr>
                <w:rFonts w:cs="Times New Roman"/>
                <w:sz w:val="20"/>
                <w:szCs w:val="20"/>
              </w:rPr>
              <w:t>5 393 650</w:t>
            </w:r>
          </w:p>
        </w:tc>
        <w:tc>
          <w:tcPr>
            <w:tcW w:w="1418" w:type="dxa"/>
          </w:tcPr>
          <w:p w14:paraId="0BF25A37" w14:textId="69D8986F" w:rsidR="005C43FB" w:rsidRPr="00493755" w:rsidRDefault="3606186A" w:rsidP="007F1878">
            <w:pPr>
              <w:jc w:val="center"/>
              <w:rPr>
                <w:rFonts w:cs="Times New Roman"/>
                <w:sz w:val="20"/>
                <w:szCs w:val="20"/>
              </w:rPr>
            </w:pPr>
            <w:r w:rsidRPr="00493755">
              <w:rPr>
                <w:rFonts w:cs="Times New Roman"/>
                <w:sz w:val="20"/>
                <w:szCs w:val="20"/>
              </w:rPr>
              <w:t>0</w:t>
            </w:r>
          </w:p>
        </w:tc>
        <w:tc>
          <w:tcPr>
            <w:tcW w:w="1134" w:type="dxa"/>
          </w:tcPr>
          <w:p w14:paraId="6B7BA8B3" w14:textId="3F08257D" w:rsidR="005C43FB" w:rsidRPr="00493755" w:rsidRDefault="3606186A" w:rsidP="007F1878">
            <w:pPr>
              <w:jc w:val="center"/>
              <w:rPr>
                <w:rFonts w:cs="Times New Roman"/>
                <w:sz w:val="20"/>
                <w:szCs w:val="20"/>
              </w:rPr>
            </w:pPr>
            <w:r w:rsidRPr="00493755">
              <w:rPr>
                <w:rFonts w:cs="Times New Roman"/>
                <w:sz w:val="20"/>
                <w:szCs w:val="20"/>
              </w:rPr>
              <w:t>0</w:t>
            </w:r>
          </w:p>
        </w:tc>
        <w:tc>
          <w:tcPr>
            <w:tcW w:w="2120" w:type="dxa"/>
          </w:tcPr>
          <w:p w14:paraId="21DDAACE" w14:textId="52854822" w:rsidR="005C43FB" w:rsidRPr="00493755" w:rsidRDefault="3606186A" w:rsidP="007F1878">
            <w:pPr>
              <w:jc w:val="center"/>
              <w:rPr>
                <w:rFonts w:cs="Times New Roman"/>
                <w:sz w:val="20"/>
                <w:szCs w:val="20"/>
              </w:rPr>
            </w:pPr>
            <w:r w:rsidRPr="00493755">
              <w:rPr>
                <w:rFonts w:cs="Times New Roman"/>
                <w:sz w:val="20"/>
                <w:szCs w:val="20"/>
              </w:rPr>
              <w:t>31.12.202</w:t>
            </w:r>
            <w:r w:rsidR="00A71BFD" w:rsidRPr="00493755">
              <w:rPr>
                <w:rFonts w:cs="Times New Roman"/>
                <w:sz w:val="20"/>
                <w:szCs w:val="20"/>
              </w:rPr>
              <w:t>4</w:t>
            </w:r>
          </w:p>
          <w:p w14:paraId="0203C821" w14:textId="5C7B6694" w:rsidR="005C43FB" w:rsidRPr="00493755" w:rsidRDefault="005C43FB" w:rsidP="007F1878">
            <w:pPr>
              <w:jc w:val="center"/>
              <w:rPr>
                <w:rFonts w:cs="Times New Roman"/>
                <w:sz w:val="20"/>
                <w:szCs w:val="20"/>
              </w:rPr>
            </w:pPr>
          </w:p>
        </w:tc>
      </w:tr>
      <w:tr w:rsidR="00C469D0" w:rsidRPr="00493755" w14:paraId="628BBDB9" w14:textId="77777777" w:rsidTr="007F1878">
        <w:tc>
          <w:tcPr>
            <w:tcW w:w="1271" w:type="dxa"/>
          </w:tcPr>
          <w:p w14:paraId="3C8C8D9E" w14:textId="77777777" w:rsidR="009048CA" w:rsidRPr="00493755" w:rsidRDefault="009048CA" w:rsidP="00FE3B35">
            <w:pPr>
              <w:jc w:val="both"/>
              <w:rPr>
                <w:rFonts w:cs="Times New Roman"/>
                <w:sz w:val="20"/>
                <w:szCs w:val="20"/>
              </w:rPr>
            </w:pPr>
          </w:p>
          <w:p w14:paraId="4F267FC7" w14:textId="4EB623E9" w:rsidR="00C469D0" w:rsidRPr="00493755" w:rsidRDefault="00C469D0" w:rsidP="00FE3B35">
            <w:pPr>
              <w:jc w:val="both"/>
              <w:rPr>
                <w:rFonts w:cs="Times New Roman"/>
                <w:sz w:val="20"/>
                <w:szCs w:val="20"/>
              </w:rPr>
            </w:pPr>
            <w:r w:rsidRPr="00493755">
              <w:rPr>
                <w:rFonts w:cs="Times New Roman"/>
                <w:sz w:val="20"/>
                <w:szCs w:val="20"/>
              </w:rPr>
              <w:t xml:space="preserve">Kopā </w:t>
            </w:r>
          </w:p>
        </w:tc>
        <w:tc>
          <w:tcPr>
            <w:tcW w:w="2835" w:type="dxa"/>
          </w:tcPr>
          <w:tbl>
            <w:tblPr>
              <w:tblStyle w:val="TableGrid"/>
              <w:tblW w:w="0" w:type="auto"/>
              <w:tblLook w:val="06A0" w:firstRow="1" w:lastRow="0" w:firstColumn="1" w:lastColumn="0" w:noHBand="1" w:noVBand="1"/>
            </w:tblPr>
            <w:tblGrid>
              <w:gridCol w:w="1095"/>
            </w:tblGrid>
            <w:tr w:rsidR="3606186A" w:rsidRPr="00493755" w14:paraId="25A45E31" w14:textId="77777777" w:rsidTr="007F1878">
              <w:trPr>
                <w:trHeight w:val="300"/>
              </w:trPr>
              <w:tc>
                <w:tcPr>
                  <w:tcW w:w="1095" w:type="dxa"/>
                  <w:tcBorders>
                    <w:top w:val="nil"/>
                    <w:left w:val="nil"/>
                    <w:bottom w:val="nil"/>
                    <w:right w:val="nil"/>
                  </w:tcBorders>
                  <w:vAlign w:val="center"/>
                </w:tcPr>
                <w:p w14:paraId="51224DBF" w14:textId="4A376F4A" w:rsidR="3606186A" w:rsidRPr="00493755" w:rsidRDefault="3606186A" w:rsidP="007F1878">
                  <w:pPr>
                    <w:jc w:val="center"/>
                    <w:rPr>
                      <w:rFonts w:eastAsia="Times New Roman" w:cs="Times New Roman"/>
                      <w:sz w:val="20"/>
                      <w:szCs w:val="20"/>
                    </w:rPr>
                  </w:pPr>
                </w:p>
              </w:tc>
            </w:tr>
          </w:tbl>
          <w:p w14:paraId="1300C8B1" w14:textId="6F7AE114" w:rsidR="00C469D0" w:rsidRPr="00493755" w:rsidRDefault="002611E1" w:rsidP="007F1878">
            <w:pPr>
              <w:jc w:val="center"/>
              <w:rPr>
                <w:rFonts w:cs="Times New Roman"/>
                <w:sz w:val="20"/>
                <w:szCs w:val="20"/>
              </w:rPr>
            </w:pPr>
            <w:r w:rsidRPr="00493755">
              <w:rPr>
                <w:rFonts w:cs="Times New Roman"/>
                <w:sz w:val="20"/>
                <w:szCs w:val="20"/>
              </w:rPr>
              <w:t>3</w:t>
            </w:r>
            <w:r w:rsidR="007F1878" w:rsidRPr="00493755">
              <w:rPr>
                <w:rFonts w:cs="Times New Roman"/>
                <w:sz w:val="20"/>
                <w:szCs w:val="20"/>
              </w:rPr>
              <w:t>82 393</w:t>
            </w:r>
            <w:r w:rsidR="009048CA" w:rsidRPr="00493755">
              <w:rPr>
                <w:rFonts w:cs="Times New Roman"/>
                <w:sz w:val="20"/>
                <w:szCs w:val="20"/>
              </w:rPr>
              <w:t> </w:t>
            </w:r>
            <w:r w:rsidR="007F1878" w:rsidRPr="00493755">
              <w:rPr>
                <w:rFonts w:cs="Times New Roman"/>
                <w:sz w:val="20"/>
                <w:szCs w:val="20"/>
              </w:rPr>
              <w:t>713</w:t>
            </w:r>
          </w:p>
        </w:tc>
        <w:tc>
          <w:tcPr>
            <w:tcW w:w="1418" w:type="dxa"/>
          </w:tcPr>
          <w:p w14:paraId="1D79FA2B" w14:textId="77777777" w:rsidR="009048CA" w:rsidRPr="00493755" w:rsidRDefault="009048CA" w:rsidP="007F1878">
            <w:pPr>
              <w:jc w:val="center"/>
              <w:rPr>
                <w:rFonts w:cs="Times New Roman"/>
                <w:sz w:val="20"/>
                <w:szCs w:val="20"/>
              </w:rPr>
            </w:pPr>
          </w:p>
          <w:p w14:paraId="201FE826" w14:textId="5819AC95" w:rsidR="00C469D0" w:rsidRPr="00493755" w:rsidRDefault="3606186A" w:rsidP="007F1878">
            <w:pPr>
              <w:jc w:val="center"/>
              <w:rPr>
                <w:rFonts w:cs="Times New Roman"/>
                <w:sz w:val="20"/>
                <w:szCs w:val="20"/>
              </w:rPr>
            </w:pPr>
            <w:r w:rsidRPr="00493755">
              <w:rPr>
                <w:rFonts w:cs="Times New Roman"/>
                <w:sz w:val="20"/>
                <w:szCs w:val="20"/>
              </w:rPr>
              <w:t>93 377</w:t>
            </w:r>
            <w:r w:rsidR="00054091" w:rsidRPr="00493755">
              <w:rPr>
                <w:rFonts w:cs="Times New Roman"/>
                <w:sz w:val="20"/>
                <w:szCs w:val="20"/>
              </w:rPr>
              <w:t> </w:t>
            </w:r>
            <w:r w:rsidRPr="00493755">
              <w:rPr>
                <w:rFonts w:cs="Times New Roman"/>
                <w:sz w:val="20"/>
                <w:szCs w:val="20"/>
              </w:rPr>
              <w:t>798</w:t>
            </w:r>
          </w:p>
        </w:tc>
        <w:tc>
          <w:tcPr>
            <w:tcW w:w="1134" w:type="dxa"/>
          </w:tcPr>
          <w:p w14:paraId="39231DE1" w14:textId="77777777" w:rsidR="00054091" w:rsidRPr="00493755" w:rsidRDefault="00054091" w:rsidP="007F1878">
            <w:pPr>
              <w:jc w:val="center"/>
              <w:rPr>
                <w:rFonts w:cs="Times New Roman"/>
                <w:sz w:val="20"/>
                <w:szCs w:val="20"/>
              </w:rPr>
            </w:pPr>
          </w:p>
          <w:p w14:paraId="0319B5FA" w14:textId="161184DF" w:rsidR="00C469D0" w:rsidRPr="00493755" w:rsidRDefault="3606186A" w:rsidP="007F1878">
            <w:pPr>
              <w:jc w:val="center"/>
              <w:rPr>
                <w:rFonts w:cs="Times New Roman"/>
                <w:sz w:val="20"/>
                <w:szCs w:val="20"/>
              </w:rPr>
            </w:pPr>
            <w:r w:rsidRPr="00493755">
              <w:rPr>
                <w:rFonts w:cs="Times New Roman"/>
                <w:sz w:val="20"/>
                <w:szCs w:val="20"/>
              </w:rPr>
              <w:t>24</w:t>
            </w:r>
          </w:p>
        </w:tc>
        <w:tc>
          <w:tcPr>
            <w:tcW w:w="2120" w:type="dxa"/>
          </w:tcPr>
          <w:p w14:paraId="0B7FB2D8" w14:textId="6BFEB4C1" w:rsidR="00C469D0" w:rsidRPr="00493755" w:rsidRDefault="00C469D0" w:rsidP="007F1878">
            <w:pPr>
              <w:jc w:val="center"/>
              <w:rPr>
                <w:rFonts w:cs="Times New Roman"/>
                <w:sz w:val="20"/>
                <w:szCs w:val="20"/>
              </w:rPr>
            </w:pPr>
          </w:p>
          <w:p w14:paraId="0C66E5D4" w14:textId="3EB650E9" w:rsidR="00C469D0" w:rsidRPr="00493755" w:rsidRDefault="00C469D0" w:rsidP="007F1878">
            <w:pPr>
              <w:jc w:val="center"/>
              <w:rPr>
                <w:rFonts w:cs="Times New Roman"/>
                <w:sz w:val="20"/>
                <w:szCs w:val="20"/>
              </w:rPr>
            </w:pPr>
          </w:p>
        </w:tc>
      </w:tr>
    </w:tbl>
    <w:p w14:paraId="6F5C8306" w14:textId="05303BF0" w:rsidR="009422DE" w:rsidRPr="00493755" w:rsidRDefault="3606186A" w:rsidP="3606186A">
      <w:pPr>
        <w:spacing w:after="0" w:line="240" w:lineRule="auto"/>
        <w:jc w:val="both"/>
        <w:rPr>
          <w:rFonts w:cs="Times New Roman"/>
          <w:sz w:val="20"/>
          <w:szCs w:val="20"/>
        </w:rPr>
      </w:pPr>
      <w:r w:rsidRPr="00493755">
        <w:rPr>
          <w:rFonts w:cs="Times New Roman"/>
          <w:sz w:val="20"/>
          <w:szCs w:val="20"/>
        </w:rPr>
        <w:t>*</w:t>
      </w:r>
      <w:r w:rsidR="00E73AB8" w:rsidRPr="00493755">
        <w:rPr>
          <w:rFonts w:cs="Times New Roman"/>
          <w:sz w:val="20"/>
          <w:szCs w:val="20"/>
        </w:rPr>
        <w:t>Plānots, ka l</w:t>
      </w:r>
      <w:r w:rsidRPr="00493755">
        <w:rPr>
          <w:rFonts w:cs="Times New Roman"/>
          <w:sz w:val="20"/>
          <w:szCs w:val="20"/>
        </w:rPr>
        <w:t>īgums tiks pagarināts līdz 2024.</w:t>
      </w:r>
      <w:r w:rsidR="00BA6F31" w:rsidRPr="00493755">
        <w:rPr>
          <w:rFonts w:cs="Times New Roman"/>
          <w:sz w:val="20"/>
          <w:szCs w:val="20"/>
        </w:rPr>
        <w:t> </w:t>
      </w:r>
      <w:r w:rsidRPr="00493755">
        <w:rPr>
          <w:rFonts w:cs="Times New Roman"/>
          <w:sz w:val="20"/>
          <w:szCs w:val="20"/>
        </w:rPr>
        <w:t>gada 31.</w:t>
      </w:r>
      <w:r w:rsidR="00BA6F31" w:rsidRPr="00493755">
        <w:rPr>
          <w:rFonts w:cs="Times New Roman"/>
          <w:sz w:val="20"/>
          <w:szCs w:val="20"/>
        </w:rPr>
        <w:t> </w:t>
      </w:r>
      <w:r w:rsidRPr="00493755">
        <w:rPr>
          <w:rFonts w:cs="Times New Roman"/>
          <w:sz w:val="20"/>
          <w:szCs w:val="20"/>
        </w:rPr>
        <w:t>decembrim</w:t>
      </w:r>
      <w:r w:rsidR="0014086C" w:rsidRPr="00493755">
        <w:rPr>
          <w:rFonts w:cs="Times New Roman"/>
          <w:sz w:val="20"/>
          <w:szCs w:val="20"/>
        </w:rPr>
        <w:t xml:space="preserve">. Finanšu resursu </w:t>
      </w:r>
      <w:r w:rsidR="00C05154" w:rsidRPr="00493755">
        <w:rPr>
          <w:rFonts w:cs="Times New Roman"/>
          <w:sz w:val="20"/>
          <w:szCs w:val="20"/>
        </w:rPr>
        <w:t>apguves kavējumi ir saistīti ar projekt</w:t>
      </w:r>
      <w:r w:rsidR="00204EFE" w:rsidRPr="00493755">
        <w:rPr>
          <w:rFonts w:cs="Times New Roman"/>
          <w:sz w:val="20"/>
          <w:szCs w:val="20"/>
        </w:rPr>
        <w:t>ēšan</w:t>
      </w:r>
      <w:r w:rsidR="00A73833" w:rsidRPr="00493755">
        <w:rPr>
          <w:rFonts w:cs="Times New Roman"/>
          <w:sz w:val="20"/>
          <w:szCs w:val="20"/>
        </w:rPr>
        <w:t>a</w:t>
      </w:r>
      <w:r w:rsidR="00204EFE" w:rsidRPr="00493755">
        <w:rPr>
          <w:rFonts w:cs="Times New Roman"/>
          <w:sz w:val="20"/>
          <w:szCs w:val="20"/>
        </w:rPr>
        <w:t xml:space="preserve">s </w:t>
      </w:r>
      <w:r w:rsidR="00A73833" w:rsidRPr="00493755">
        <w:rPr>
          <w:rFonts w:cs="Times New Roman"/>
          <w:sz w:val="20"/>
          <w:szCs w:val="20"/>
        </w:rPr>
        <w:t xml:space="preserve">posma kavējumiem. </w:t>
      </w:r>
      <w:r w:rsidR="00C05154" w:rsidRPr="00493755">
        <w:rPr>
          <w:rFonts w:cs="Times New Roman"/>
          <w:sz w:val="20"/>
          <w:szCs w:val="20"/>
        </w:rPr>
        <w:t xml:space="preserve"> </w:t>
      </w:r>
    </w:p>
    <w:p w14:paraId="2C86A006" w14:textId="79220FBF" w:rsidR="3606186A" w:rsidRPr="00493755" w:rsidRDefault="3606186A" w:rsidP="3606186A">
      <w:pPr>
        <w:spacing w:after="0" w:line="240" w:lineRule="auto"/>
        <w:ind w:firstLine="720"/>
        <w:jc w:val="both"/>
        <w:rPr>
          <w:rFonts w:cs="Times New Roman"/>
          <w:sz w:val="24"/>
          <w:szCs w:val="24"/>
        </w:rPr>
      </w:pPr>
    </w:p>
    <w:p w14:paraId="141A1F42" w14:textId="38F6C271" w:rsidR="008917D6" w:rsidRPr="00493755" w:rsidRDefault="75404FB2" w:rsidP="009F33DC">
      <w:pPr>
        <w:spacing w:after="0" w:line="240" w:lineRule="auto"/>
        <w:ind w:firstLine="720"/>
        <w:jc w:val="both"/>
        <w:rPr>
          <w:rFonts w:cs="Times New Roman"/>
          <w:sz w:val="24"/>
          <w:szCs w:val="24"/>
        </w:rPr>
      </w:pPr>
      <w:r w:rsidRPr="00493755">
        <w:rPr>
          <w:rFonts w:cs="Times New Roman"/>
          <w:sz w:val="24"/>
          <w:szCs w:val="24"/>
        </w:rPr>
        <w:t xml:space="preserve">EISI paredzētais finansējums transporta nozarei laikposmā no 2021. gada līdz 2027. gadam sastāda 25,8 miljardi </w:t>
      </w:r>
      <w:r w:rsidRPr="00493755">
        <w:rPr>
          <w:rFonts w:cs="Times New Roman"/>
          <w:i/>
          <w:iCs/>
          <w:sz w:val="24"/>
          <w:szCs w:val="24"/>
        </w:rPr>
        <w:t>euro</w:t>
      </w:r>
      <w:r w:rsidRPr="00493755">
        <w:rPr>
          <w:rFonts w:cs="Times New Roman"/>
          <w:sz w:val="24"/>
          <w:szCs w:val="24"/>
        </w:rPr>
        <w:t xml:space="preserve">, no kuriem 11,3 miljardi ir pārvietoti no Kohēzijas fonda, uz kuru var pieteikties tikai tās valstis, kas ir tiesīgas saņemt finansējumu no Kohēzijas fonda ar atbalsta intensitāti līdz 85 %, 12,8 miljardi </w:t>
      </w:r>
      <w:r w:rsidRPr="00493755">
        <w:rPr>
          <w:rFonts w:cs="Times New Roman"/>
          <w:i/>
          <w:iCs/>
          <w:sz w:val="24"/>
          <w:szCs w:val="24"/>
        </w:rPr>
        <w:t>euro</w:t>
      </w:r>
      <w:r w:rsidRPr="00493755">
        <w:rPr>
          <w:rFonts w:cs="Times New Roman"/>
          <w:sz w:val="24"/>
          <w:szCs w:val="24"/>
        </w:rPr>
        <w:t xml:space="preserve"> pieejami visām ES valstīm vispārējā aploksnē un 1,7 miljardi </w:t>
      </w:r>
      <w:r w:rsidRPr="00493755">
        <w:rPr>
          <w:rFonts w:cs="Times New Roman"/>
          <w:i/>
          <w:iCs/>
          <w:sz w:val="24"/>
          <w:szCs w:val="24"/>
        </w:rPr>
        <w:t>euro</w:t>
      </w:r>
      <w:r w:rsidRPr="00493755">
        <w:rPr>
          <w:rFonts w:cs="Times New Roman"/>
          <w:sz w:val="24"/>
          <w:szCs w:val="24"/>
        </w:rPr>
        <w:t xml:space="preserve"> pieejami visām ES valstīm Militārās mobilitātes aploksnē. Aptuveni 70% no finansējuma budžeta ir plānots virzīt 2021.- 2023. gadā, kas būtu 18,2 miljardi </w:t>
      </w:r>
      <w:r w:rsidR="5982A8EB" w:rsidRPr="00493755">
        <w:rPr>
          <w:rFonts w:cs="Times New Roman"/>
          <w:i/>
          <w:iCs/>
          <w:sz w:val="24"/>
          <w:szCs w:val="24"/>
        </w:rPr>
        <w:t>euro</w:t>
      </w:r>
      <w:r w:rsidR="5982A8EB" w:rsidRPr="00493755">
        <w:rPr>
          <w:rFonts w:cs="Times New Roman"/>
          <w:sz w:val="24"/>
          <w:szCs w:val="24"/>
        </w:rPr>
        <w:t xml:space="preserve"> </w:t>
      </w:r>
      <w:r w:rsidRPr="00493755">
        <w:rPr>
          <w:rFonts w:cs="Times New Roman"/>
          <w:sz w:val="24"/>
          <w:szCs w:val="24"/>
        </w:rPr>
        <w:t>dalīti trīs uzsaukumos, katrā gadā izsludinot vienu uzsaukumu.</w:t>
      </w:r>
      <w:r w:rsidR="53C09D3B" w:rsidRPr="00493755">
        <w:rPr>
          <w:rFonts w:cs="Times New Roman"/>
          <w:sz w:val="24"/>
          <w:szCs w:val="24"/>
        </w:rPr>
        <w:t xml:space="preserve"> Latvija</w:t>
      </w:r>
      <w:r w:rsidR="73537F76" w:rsidRPr="00493755">
        <w:rPr>
          <w:rFonts w:cs="Times New Roman"/>
          <w:sz w:val="24"/>
          <w:szCs w:val="24"/>
        </w:rPr>
        <w:t xml:space="preserve"> 2021.-2027.</w:t>
      </w:r>
      <w:r w:rsidR="29AF1A2F" w:rsidRPr="00493755">
        <w:rPr>
          <w:rFonts w:cs="Times New Roman"/>
          <w:sz w:val="24"/>
          <w:szCs w:val="24"/>
        </w:rPr>
        <w:t xml:space="preserve"> Daudzgadu budžeta ietvarā plāno saņemt 1,</w:t>
      </w:r>
      <w:r w:rsidR="3313FE81" w:rsidRPr="00493755">
        <w:rPr>
          <w:rFonts w:cs="Times New Roman"/>
          <w:sz w:val="24"/>
          <w:szCs w:val="24"/>
        </w:rPr>
        <w:t>3 – 1</w:t>
      </w:r>
      <w:r w:rsidR="01803B01" w:rsidRPr="00493755">
        <w:rPr>
          <w:rFonts w:cs="Times New Roman"/>
          <w:sz w:val="24"/>
          <w:szCs w:val="24"/>
        </w:rPr>
        <w:t>,</w:t>
      </w:r>
      <w:r w:rsidR="3313FE81" w:rsidRPr="00493755">
        <w:rPr>
          <w:rFonts w:cs="Times New Roman"/>
          <w:sz w:val="24"/>
          <w:szCs w:val="24"/>
        </w:rPr>
        <w:t>4</w:t>
      </w:r>
      <w:r w:rsidR="00BA6F31" w:rsidRPr="00493755">
        <w:rPr>
          <w:rFonts w:cs="Times New Roman"/>
          <w:sz w:val="24"/>
          <w:szCs w:val="24"/>
        </w:rPr>
        <w:t> </w:t>
      </w:r>
      <w:r w:rsidR="3313FE81" w:rsidRPr="00493755">
        <w:rPr>
          <w:rFonts w:cs="Times New Roman"/>
          <w:sz w:val="24"/>
          <w:szCs w:val="24"/>
        </w:rPr>
        <w:t xml:space="preserve">miljardus </w:t>
      </w:r>
      <w:r w:rsidR="3313FE81" w:rsidRPr="00493755">
        <w:rPr>
          <w:rFonts w:cs="Times New Roman"/>
          <w:i/>
          <w:iCs/>
          <w:sz w:val="24"/>
          <w:szCs w:val="24"/>
        </w:rPr>
        <w:t>e</w:t>
      </w:r>
      <w:r w:rsidR="5982A8EB" w:rsidRPr="00493755">
        <w:rPr>
          <w:rFonts w:cs="Times New Roman"/>
          <w:i/>
          <w:iCs/>
          <w:sz w:val="24"/>
          <w:szCs w:val="24"/>
        </w:rPr>
        <w:t>u</w:t>
      </w:r>
      <w:r w:rsidR="3313FE81" w:rsidRPr="00493755">
        <w:rPr>
          <w:rFonts w:cs="Times New Roman"/>
          <w:i/>
          <w:iCs/>
          <w:sz w:val="24"/>
          <w:szCs w:val="24"/>
        </w:rPr>
        <w:t>ro</w:t>
      </w:r>
      <w:r w:rsidR="3313FE81" w:rsidRPr="00493755">
        <w:rPr>
          <w:rFonts w:cs="Times New Roman"/>
          <w:sz w:val="24"/>
          <w:szCs w:val="24"/>
        </w:rPr>
        <w:t xml:space="preserve"> </w:t>
      </w:r>
      <w:r w:rsidR="01803B01" w:rsidRPr="00493755">
        <w:rPr>
          <w:rFonts w:cs="Times New Roman"/>
          <w:sz w:val="24"/>
          <w:szCs w:val="24"/>
        </w:rPr>
        <w:t xml:space="preserve">EISI </w:t>
      </w:r>
      <w:r w:rsidR="3313FE81" w:rsidRPr="00493755">
        <w:rPr>
          <w:rFonts w:cs="Times New Roman"/>
          <w:sz w:val="24"/>
          <w:szCs w:val="24"/>
        </w:rPr>
        <w:t xml:space="preserve">finansējuma. </w:t>
      </w:r>
      <w:r w:rsidR="73780EEE" w:rsidRPr="00493755">
        <w:rPr>
          <w:rFonts w:cs="Times New Roman"/>
          <w:sz w:val="24"/>
          <w:szCs w:val="24"/>
        </w:rPr>
        <w:t xml:space="preserve">2021.gada </w:t>
      </w:r>
      <w:r w:rsidR="16057C5B" w:rsidRPr="00493755">
        <w:rPr>
          <w:rFonts w:cs="Times New Roman"/>
          <w:sz w:val="24"/>
          <w:szCs w:val="24"/>
        </w:rPr>
        <w:t xml:space="preserve">uzsaukumā Latvija iesniedza </w:t>
      </w:r>
      <w:r w:rsidR="6FFFD54C" w:rsidRPr="00493755">
        <w:rPr>
          <w:rFonts w:cs="Times New Roman"/>
          <w:sz w:val="24"/>
          <w:szCs w:val="24"/>
        </w:rPr>
        <w:t xml:space="preserve">342,5 miljonu </w:t>
      </w:r>
      <w:r w:rsidR="7FB9CB1A" w:rsidRPr="00493755">
        <w:rPr>
          <w:rFonts w:cs="Times New Roman"/>
          <w:sz w:val="24"/>
          <w:szCs w:val="24"/>
        </w:rPr>
        <w:t xml:space="preserve">euro </w:t>
      </w:r>
      <w:r w:rsidR="1112B9DC" w:rsidRPr="00493755">
        <w:rPr>
          <w:rFonts w:cs="Times New Roman"/>
          <w:sz w:val="24"/>
          <w:szCs w:val="24"/>
        </w:rPr>
        <w:t xml:space="preserve">finansējuma </w:t>
      </w:r>
      <w:r w:rsidR="16057C5B" w:rsidRPr="00493755">
        <w:rPr>
          <w:rFonts w:cs="Times New Roman"/>
          <w:sz w:val="24"/>
          <w:szCs w:val="24"/>
        </w:rPr>
        <w:t xml:space="preserve">pieteikumu </w:t>
      </w:r>
      <w:r w:rsidR="0EB7CF84" w:rsidRPr="00493755">
        <w:rPr>
          <w:rFonts w:cs="Times New Roman"/>
          <w:sz w:val="24"/>
          <w:szCs w:val="24"/>
        </w:rPr>
        <w:t xml:space="preserve">EISI aploksnē un </w:t>
      </w:r>
      <w:r w:rsidR="09801901" w:rsidRPr="00493755">
        <w:rPr>
          <w:rFonts w:cs="Times New Roman"/>
          <w:sz w:val="24"/>
          <w:szCs w:val="24"/>
        </w:rPr>
        <w:t xml:space="preserve">8,3 </w:t>
      </w:r>
      <w:r w:rsidR="1CD933BF" w:rsidRPr="00493755">
        <w:rPr>
          <w:rFonts w:cs="Times New Roman"/>
          <w:sz w:val="24"/>
          <w:szCs w:val="24"/>
        </w:rPr>
        <w:t xml:space="preserve">miljonu </w:t>
      </w:r>
      <w:r w:rsidR="1CD933BF" w:rsidRPr="00493755">
        <w:rPr>
          <w:rFonts w:cs="Times New Roman"/>
          <w:i/>
          <w:iCs/>
          <w:sz w:val="24"/>
          <w:szCs w:val="24"/>
        </w:rPr>
        <w:t>euro</w:t>
      </w:r>
      <w:r w:rsidR="1CD933BF" w:rsidRPr="00493755">
        <w:rPr>
          <w:rFonts w:cs="Times New Roman"/>
          <w:sz w:val="24"/>
          <w:szCs w:val="24"/>
        </w:rPr>
        <w:t xml:space="preserve"> </w:t>
      </w:r>
      <w:r w:rsidR="1112B9DC" w:rsidRPr="00493755">
        <w:rPr>
          <w:rFonts w:cs="Times New Roman"/>
          <w:sz w:val="24"/>
          <w:szCs w:val="24"/>
        </w:rPr>
        <w:t xml:space="preserve">finansējuma </w:t>
      </w:r>
      <w:r w:rsidR="1CD933BF" w:rsidRPr="00493755">
        <w:rPr>
          <w:rFonts w:cs="Times New Roman"/>
          <w:sz w:val="24"/>
          <w:szCs w:val="24"/>
        </w:rPr>
        <w:t xml:space="preserve">pieteikumu militārās mobilitātes aploksnē. </w:t>
      </w:r>
    </w:p>
    <w:p w14:paraId="09690F95" w14:textId="3AF9824F" w:rsidR="001801F1" w:rsidRPr="00493755" w:rsidRDefault="00DB17AE" w:rsidP="009F33DC">
      <w:pPr>
        <w:spacing w:after="0" w:line="240" w:lineRule="auto"/>
        <w:ind w:firstLine="720"/>
        <w:jc w:val="both"/>
        <w:rPr>
          <w:rFonts w:cs="Times New Roman"/>
          <w:sz w:val="24"/>
          <w:szCs w:val="24"/>
        </w:rPr>
      </w:pPr>
      <w:r w:rsidRPr="00493755">
        <w:rPr>
          <w:rFonts w:cs="Times New Roman"/>
          <w:sz w:val="24"/>
          <w:szCs w:val="24"/>
        </w:rPr>
        <w:t xml:space="preserve">Projekta </w:t>
      </w:r>
      <w:r w:rsidR="00D461FC" w:rsidRPr="00493755">
        <w:rPr>
          <w:rFonts w:cs="Times New Roman"/>
          <w:sz w:val="24"/>
          <w:szCs w:val="24"/>
        </w:rPr>
        <w:t xml:space="preserve">Latvijas aktivitāšu </w:t>
      </w:r>
      <w:r w:rsidRPr="00493755">
        <w:rPr>
          <w:rFonts w:cs="Times New Roman"/>
          <w:sz w:val="24"/>
          <w:szCs w:val="24"/>
        </w:rPr>
        <w:t>izmak</w:t>
      </w:r>
      <w:r w:rsidR="00D461FC" w:rsidRPr="00493755">
        <w:rPr>
          <w:rFonts w:cs="Times New Roman"/>
          <w:sz w:val="24"/>
          <w:szCs w:val="24"/>
        </w:rPr>
        <w:t xml:space="preserve">sas </w:t>
      </w:r>
      <w:r w:rsidR="00BD6F61" w:rsidRPr="00493755">
        <w:rPr>
          <w:rFonts w:cs="Times New Roman"/>
          <w:sz w:val="24"/>
          <w:szCs w:val="24"/>
        </w:rPr>
        <w:t xml:space="preserve">saskaņā ar Ieguvumu – Izmaksu </w:t>
      </w:r>
      <w:r w:rsidR="00371812" w:rsidRPr="00493755">
        <w:rPr>
          <w:rFonts w:cs="Times New Roman"/>
          <w:sz w:val="24"/>
          <w:szCs w:val="24"/>
        </w:rPr>
        <w:t>pētījumu</w:t>
      </w:r>
      <w:r w:rsidR="00BD6F61" w:rsidRPr="00493755">
        <w:rPr>
          <w:rFonts w:cs="Times New Roman"/>
          <w:sz w:val="24"/>
          <w:szCs w:val="24"/>
        </w:rPr>
        <w:t xml:space="preserve"> </w:t>
      </w:r>
      <w:r w:rsidRPr="00493755">
        <w:rPr>
          <w:rFonts w:cs="Times New Roman"/>
          <w:sz w:val="24"/>
          <w:szCs w:val="24"/>
        </w:rPr>
        <w:t>201</w:t>
      </w:r>
      <w:r w:rsidR="001471D6" w:rsidRPr="00493755">
        <w:rPr>
          <w:rFonts w:cs="Times New Roman"/>
          <w:sz w:val="24"/>
          <w:szCs w:val="24"/>
        </w:rPr>
        <w:t>6</w:t>
      </w:r>
      <w:r w:rsidRPr="00493755">
        <w:rPr>
          <w:rFonts w:cs="Times New Roman"/>
          <w:sz w:val="24"/>
          <w:szCs w:val="24"/>
        </w:rPr>
        <w:t>.</w:t>
      </w:r>
      <w:r w:rsidR="00BA6F31" w:rsidRPr="00493755">
        <w:rPr>
          <w:rFonts w:cs="Times New Roman"/>
          <w:sz w:val="24"/>
          <w:szCs w:val="24"/>
        </w:rPr>
        <w:t> </w:t>
      </w:r>
      <w:r w:rsidRPr="00493755">
        <w:rPr>
          <w:rFonts w:cs="Times New Roman"/>
          <w:sz w:val="24"/>
          <w:szCs w:val="24"/>
        </w:rPr>
        <w:t>gada</w:t>
      </w:r>
      <w:r w:rsidR="00D461FC" w:rsidRPr="00493755">
        <w:rPr>
          <w:rFonts w:cs="Times New Roman"/>
          <w:sz w:val="24"/>
          <w:szCs w:val="24"/>
        </w:rPr>
        <w:t xml:space="preserve"> cenās </w:t>
      </w:r>
      <w:r w:rsidR="00FD3304" w:rsidRPr="00493755">
        <w:rPr>
          <w:rFonts w:cs="Times New Roman"/>
          <w:sz w:val="24"/>
          <w:szCs w:val="24"/>
        </w:rPr>
        <w:t xml:space="preserve">un apjomā </w:t>
      </w:r>
      <w:r w:rsidR="00D461FC" w:rsidRPr="00493755">
        <w:rPr>
          <w:rFonts w:cs="Times New Roman"/>
          <w:sz w:val="24"/>
          <w:szCs w:val="24"/>
        </w:rPr>
        <w:t xml:space="preserve">tika lēstas </w:t>
      </w:r>
      <w:r w:rsidR="00FC7FD3" w:rsidRPr="00493755">
        <w:rPr>
          <w:rFonts w:cs="Times New Roman"/>
          <w:sz w:val="24"/>
          <w:szCs w:val="24"/>
        </w:rPr>
        <w:t xml:space="preserve">1,92 </w:t>
      </w:r>
      <w:r w:rsidR="002C50D9" w:rsidRPr="00493755">
        <w:rPr>
          <w:rFonts w:cs="Times New Roman"/>
          <w:sz w:val="24"/>
          <w:szCs w:val="24"/>
        </w:rPr>
        <w:t xml:space="preserve">miljardu </w:t>
      </w:r>
      <w:r w:rsidR="002C50D9" w:rsidRPr="00493755">
        <w:rPr>
          <w:rFonts w:cs="Times New Roman"/>
          <w:i/>
          <w:iCs/>
          <w:sz w:val="24"/>
          <w:szCs w:val="24"/>
        </w:rPr>
        <w:t>e</w:t>
      </w:r>
      <w:r w:rsidR="0016188C" w:rsidRPr="00493755">
        <w:rPr>
          <w:rFonts w:cs="Times New Roman"/>
          <w:i/>
          <w:iCs/>
          <w:sz w:val="24"/>
          <w:szCs w:val="24"/>
        </w:rPr>
        <w:t>u</w:t>
      </w:r>
      <w:r w:rsidR="002C50D9" w:rsidRPr="00493755">
        <w:rPr>
          <w:rFonts w:cs="Times New Roman"/>
          <w:i/>
          <w:iCs/>
          <w:sz w:val="24"/>
          <w:szCs w:val="24"/>
        </w:rPr>
        <w:t>ro</w:t>
      </w:r>
      <w:r w:rsidR="002C50D9" w:rsidRPr="00493755">
        <w:rPr>
          <w:rFonts w:cs="Times New Roman"/>
          <w:sz w:val="24"/>
          <w:szCs w:val="24"/>
        </w:rPr>
        <w:t xml:space="preserve"> apmērā. </w:t>
      </w:r>
      <w:r w:rsidR="00FD3304" w:rsidRPr="00493755">
        <w:rPr>
          <w:rFonts w:cs="Times New Roman"/>
          <w:sz w:val="24"/>
          <w:szCs w:val="24"/>
        </w:rPr>
        <w:t>Tādejādi</w:t>
      </w:r>
      <w:r w:rsidR="0016188C" w:rsidRPr="00493755">
        <w:rPr>
          <w:rFonts w:cs="Times New Roman"/>
          <w:sz w:val="24"/>
          <w:szCs w:val="24"/>
        </w:rPr>
        <w:t>,</w:t>
      </w:r>
      <w:r w:rsidR="00F22218" w:rsidRPr="00493755">
        <w:rPr>
          <w:rFonts w:cs="Times New Roman"/>
          <w:sz w:val="24"/>
          <w:szCs w:val="24"/>
        </w:rPr>
        <w:t xml:space="preserve"> aptuvenais finanšu deficīts</w:t>
      </w:r>
      <w:r w:rsidR="00121FBF" w:rsidRPr="00493755">
        <w:rPr>
          <w:rFonts w:cs="Times New Roman"/>
          <w:sz w:val="24"/>
          <w:szCs w:val="24"/>
        </w:rPr>
        <w:t xml:space="preserve"> 201</w:t>
      </w:r>
      <w:r w:rsidR="00FE37E7" w:rsidRPr="00493755">
        <w:rPr>
          <w:rFonts w:cs="Times New Roman"/>
          <w:sz w:val="24"/>
          <w:szCs w:val="24"/>
        </w:rPr>
        <w:t>6</w:t>
      </w:r>
      <w:r w:rsidR="00121FBF" w:rsidRPr="00493755">
        <w:rPr>
          <w:rFonts w:cs="Times New Roman"/>
          <w:sz w:val="24"/>
          <w:szCs w:val="24"/>
        </w:rPr>
        <w:t>.</w:t>
      </w:r>
      <w:r w:rsidR="00BA6F31" w:rsidRPr="00493755">
        <w:rPr>
          <w:rFonts w:cs="Times New Roman"/>
          <w:sz w:val="24"/>
          <w:szCs w:val="24"/>
        </w:rPr>
        <w:t> </w:t>
      </w:r>
      <w:r w:rsidR="00121FBF" w:rsidRPr="00493755">
        <w:rPr>
          <w:rFonts w:cs="Times New Roman"/>
          <w:sz w:val="24"/>
          <w:szCs w:val="24"/>
        </w:rPr>
        <w:t xml:space="preserve">gada cenās un </w:t>
      </w:r>
      <w:r w:rsidR="0091210D" w:rsidRPr="00493755">
        <w:rPr>
          <w:rFonts w:cs="Times New Roman"/>
          <w:sz w:val="24"/>
          <w:szCs w:val="24"/>
        </w:rPr>
        <w:t>2016.</w:t>
      </w:r>
      <w:r w:rsidR="00BA6F31" w:rsidRPr="00493755">
        <w:rPr>
          <w:rFonts w:cs="Times New Roman"/>
          <w:sz w:val="24"/>
          <w:szCs w:val="24"/>
        </w:rPr>
        <w:t> </w:t>
      </w:r>
      <w:r w:rsidR="0091210D" w:rsidRPr="00493755">
        <w:rPr>
          <w:rFonts w:cs="Times New Roman"/>
          <w:sz w:val="24"/>
          <w:szCs w:val="24"/>
        </w:rPr>
        <w:t xml:space="preserve">gada </w:t>
      </w:r>
      <w:r w:rsidR="00FB6AB5" w:rsidRPr="00493755">
        <w:rPr>
          <w:rFonts w:cs="Times New Roman"/>
          <w:sz w:val="24"/>
          <w:szCs w:val="24"/>
        </w:rPr>
        <w:t xml:space="preserve">Projekta </w:t>
      </w:r>
      <w:r w:rsidR="00121FBF" w:rsidRPr="00493755">
        <w:rPr>
          <w:rFonts w:cs="Times New Roman"/>
          <w:sz w:val="24"/>
          <w:szCs w:val="24"/>
        </w:rPr>
        <w:t xml:space="preserve">apjomā </w:t>
      </w:r>
      <w:r w:rsidR="00FA7743" w:rsidRPr="00493755">
        <w:rPr>
          <w:rFonts w:cs="Times New Roman"/>
          <w:sz w:val="24"/>
          <w:szCs w:val="24"/>
        </w:rPr>
        <w:t xml:space="preserve">varētu sastādīt </w:t>
      </w:r>
      <w:r w:rsidR="003A73D2" w:rsidRPr="00493755">
        <w:rPr>
          <w:rFonts w:cs="Times New Roman"/>
          <w:sz w:val="24"/>
          <w:szCs w:val="24"/>
        </w:rPr>
        <w:t>1</w:t>
      </w:r>
      <w:r w:rsidR="00330805" w:rsidRPr="00493755">
        <w:rPr>
          <w:rFonts w:cs="Times New Roman"/>
          <w:sz w:val="24"/>
          <w:szCs w:val="24"/>
        </w:rPr>
        <w:t>37</w:t>
      </w:r>
      <w:r w:rsidR="003A73D2" w:rsidRPr="00493755">
        <w:rPr>
          <w:rFonts w:cs="Times New Roman"/>
          <w:sz w:val="24"/>
          <w:szCs w:val="24"/>
        </w:rPr>
        <w:t xml:space="preserve"> </w:t>
      </w:r>
      <w:r w:rsidR="00BA6F31" w:rsidRPr="00493755">
        <w:rPr>
          <w:rFonts w:cs="Times New Roman"/>
          <w:sz w:val="24"/>
          <w:szCs w:val="24"/>
        </w:rPr>
        <w:t>–</w:t>
      </w:r>
      <w:r w:rsidR="003A73D2" w:rsidRPr="00493755">
        <w:rPr>
          <w:rFonts w:cs="Times New Roman"/>
          <w:sz w:val="24"/>
          <w:szCs w:val="24"/>
        </w:rPr>
        <w:t xml:space="preserve"> </w:t>
      </w:r>
      <w:r w:rsidR="00F555E5" w:rsidRPr="00493755">
        <w:rPr>
          <w:rFonts w:cs="Times New Roman"/>
          <w:sz w:val="24"/>
          <w:szCs w:val="24"/>
        </w:rPr>
        <w:t>2</w:t>
      </w:r>
      <w:r w:rsidR="00537C12" w:rsidRPr="00493755">
        <w:rPr>
          <w:rFonts w:cs="Times New Roman"/>
          <w:sz w:val="24"/>
          <w:szCs w:val="24"/>
        </w:rPr>
        <w:t>37</w:t>
      </w:r>
      <w:r w:rsidR="00BA6F31" w:rsidRPr="00493755">
        <w:rPr>
          <w:rFonts w:cs="Times New Roman"/>
          <w:sz w:val="24"/>
          <w:szCs w:val="24"/>
        </w:rPr>
        <w:t> </w:t>
      </w:r>
      <w:r w:rsidR="00C777F5" w:rsidRPr="00493755">
        <w:rPr>
          <w:rFonts w:cs="Times New Roman"/>
          <w:sz w:val="24"/>
          <w:szCs w:val="24"/>
        </w:rPr>
        <w:t xml:space="preserve">miljonus </w:t>
      </w:r>
      <w:r w:rsidR="00C777F5" w:rsidRPr="00493755">
        <w:rPr>
          <w:rFonts w:cs="Times New Roman"/>
          <w:i/>
          <w:iCs/>
          <w:sz w:val="24"/>
          <w:szCs w:val="24"/>
        </w:rPr>
        <w:t>e</w:t>
      </w:r>
      <w:r w:rsidR="0039235E" w:rsidRPr="00493755">
        <w:rPr>
          <w:rFonts w:cs="Times New Roman"/>
          <w:i/>
          <w:iCs/>
          <w:sz w:val="24"/>
          <w:szCs w:val="24"/>
        </w:rPr>
        <w:t>u</w:t>
      </w:r>
      <w:r w:rsidR="00C777F5" w:rsidRPr="00493755">
        <w:rPr>
          <w:rFonts w:cs="Times New Roman"/>
          <w:i/>
          <w:iCs/>
          <w:sz w:val="24"/>
          <w:szCs w:val="24"/>
        </w:rPr>
        <w:t>ro</w:t>
      </w:r>
      <w:r w:rsidR="00C777F5" w:rsidRPr="00493755">
        <w:rPr>
          <w:rFonts w:cs="Times New Roman"/>
          <w:sz w:val="24"/>
          <w:szCs w:val="24"/>
        </w:rPr>
        <w:t xml:space="preserve">. </w:t>
      </w:r>
    </w:p>
    <w:p w14:paraId="252ED63C" w14:textId="5243555C" w:rsidR="00D152F6" w:rsidRPr="00493755" w:rsidRDefault="42B06DC5" w:rsidP="00502253">
      <w:pPr>
        <w:spacing w:after="0" w:line="240" w:lineRule="auto"/>
        <w:ind w:firstLine="720"/>
        <w:jc w:val="both"/>
        <w:rPr>
          <w:rFonts w:cs="Times New Roman"/>
          <w:sz w:val="20"/>
          <w:szCs w:val="20"/>
        </w:rPr>
      </w:pPr>
      <w:r w:rsidRPr="00493755">
        <w:rPr>
          <w:rFonts w:cs="Times New Roman"/>
          <w:sz w:val="24"/>
          <w:szCs w:val="24"/>
        </w:rPr>
        <w:t xml:space="preserve">Taču jāatzīmē, </w:t>
      </w:r>
      <w:r w:rsidR="1987A228" w:rsidRPr="00493755">
        <w:rPr>
          <w:rFonts w:cs="Times New Roman"/>
          <w:sz w:val="24"/>
          <w:szCs w:val="24"/>
        </w:rPr>
        <w:t xml:space="preserve">ka Projekts ir pieaudzis apjomā. Ja sākotnēji </w:t>
      </w:r>
      <w:r w:rsidR="7BBC366A" w:rsidRPr="00493755">
        <w:rPr>
          <w:rFonts w:cs="Times New Roman"/>
          <w:sz w:val="24"/>
          <w:szCs w:val="24"/>
        </w:rPr>
        <w:t xml:space="preserve">Latvijā </w:t>
      </w:r>
      <w:r w:rsidR="539A04EF" w:rsidRPr="00493755">
        <w:rPr>
          <w:rFonts w:cs="Times New Roman"/>
          <w:sz w:val="24"/>
          <w:szCs w:val="24"/>
        </w:rPr>
        <w:t xml:space="preserve">tika plānots izbūvēt 1435 mm platuma dzelzceļa </w:t>
      </w:r>
      <w:r w:rsidR="7BBC366A" w:rsidRPr="00493755">
        <w:rPr>
          <w:rFonts w:cs="Times New Roman"/>
          <w:sz w:val="24"/>
          <w:szCs w:val="24"/>
        </w:rPr>
        <w:t xml:space="preserve">infrastruktūru, kas </w:t>
      </w:r>
      <w:r w:rsidR="2A84E6B6" w:rsidRPr="00493755">
        <w:rPr>
          <w:rFonts w:cs="Times New Roman"/>
          <w:sz w:val="24"/>
          <w:szCs w:val="24"/>
        </w:rPr>
        <w:t xml:space="preserve">ziemeļos </w:t>
      </w:r>
      <w:r w:rsidR="7BBC366A" w:rsidRPr="00493755">
        <w:rPr>
          <w:rFonts w:cs="Times New Roman"/>
          <w:sz w:val="24"/>
          <w:szCs w:val="24"/>
        </w:rPr>
        <w:t xml:space="preserve">savienotu Latviju ar Igauniju </w:t>
      </w:r>
      <w:r w:rsidR="00B743D9">
        <w:rPr>
          <w:rFonts w:cs="Times New Roman"/>
          <w:sz w:val="24"/>
          <w:szCs w:val="24"/>
        </w:rPr>
        <w:t>(</w:t>
      </w:r>
      <w:r w:rsidR="00B743D9" w:rsidRPr="00493755">
        <w:rPr>
          <w:rFonts w:cs="Times New Roman"/>
          <w:sz w:val="24"/>
          <w:szCs w:val="24"/>
        </w:rPr>
        <w:t>savienojum</w:t>
      </w:r>
      <w:r w:rsidR="00B743D9">
        <w:rPr>
          <w:rFonts w:cs="Times New Roman"/>
          <w:sz w:val="24"/>
          <w:szCs w:val="24"/>
        </w:rPr>
        <w:t>s</w:t>
      </w:r>
      <w:r w:rsidR="00B743D9" w:rsidRPr="00493755">
        <w:rPr>
          <w:rFonts w:cs="Times New Roman"/>
          <w:sz w:val="24"/>
          <w:szCs w:val="24"/>
        </w:rPr>
        <w:t xml:space="preserve"> ar Somiju </w:t>
      </w:r>
      <w:r w:rsidR="00B743D9">
        <w:rPr>
          <w:rFonts w:cs="Times New Roman"/>
          <w:sz w:val="24"/>
          <w:szCs w:val="24"/>
        </w:rPr>
        <w:t xml:space="preserve">varētu notikt </w:t>
      </w:r>
      <w:r w:rsidR="7BBC366A" w:rsidRPr="00493755">
        <w:rPr>
          <w:rFonts w:cs="Times New Roman"/>
          <w:sz w:val="24"/>
          <w:szCs w:val="24"/>
        </w:rPr>
        <w:t>tālākā nākotnē</w:t>
      </w:r>
      <w:r w:rsidR="00B743D9">
        <w:rPr>
          <w:rFonts w:cs="Times New Roman"/>
          <w:sz w:val="24"/>
          <w:szCs w:val="24"/>
        </w:rPr>
        <w:t>)</w:t>
      </w:r>
      <w:r w:rsidR="0B565EBF" w:rsidRPr="00493755">
        <w:rPr>
          <w:rFonts w:cs="Times New Roman"/>
          <w:sz w:val="24"/>
          <w:szCs w:val="24"/>
        </w:rPr>
        <w:t>un</w:t>
      </w:r>
      <w:r w:rsidR="706CDB9A" w:rsidRPr="00493755">
        <w:rPr>
          <w:rFonts w:cs="Times New Roman"/>
          <w:sz w:val="24"/>
          <w:szCs w:val="24"/>
        </w:rPr>
        <w:t xml:space="preserve"> dienvidos </w:t>
      </w:r>
      <w:r w:rsidR="0B565EBF" w:rsidRPr="00493755">
        <w:rPr>
          <w:rFonts w:cs="Times New Roman"/>
          <w:sz w:val="24"/>
          <w:szCs w:val="24"/>
        </w:rPr>
        <w:t xml:space="preserve">ar </w:t>
      </w:r>
      <w:r w:rsidR="4BF06986" w:rsidRPr="00493755">
        <w:rPr>
          <w:rFonts w:cs="Times New Roman"/>
          <w:sz w:val="24"/>
          <w:szCs w:val="24"/>
        </w:rPr>
        <w:t xml:space="preserve">Lietuvu tālāk nodrošinot savienojumu ar Varšavu, tad </w:t>
      </w:r>
      <w:r w:rsidR="29401520" w:rsidRPr="00493755">
        <w:rPr>
          <w:rFonts w:cs="Times New Roman"/>
          <w:sz w:val="24"/>
          <w:szCs w:val="24"/>
        </w:rPr>
        <w:t xml:space="preserve">noslēdzot Rail Baltica Operacionālās darbības pētījumu </w:t>
      </w:r>
      <w:r w:rsidR="60C962D2" w:rsidRPr="00493755">
        <w:rPr>
          <w:rFonts w:cs="Times New Roman"/>
          <w:sz w:val="24"/>
          <w:szCs w:val="24"/>
        </w:rPr>
        <w:t xml:space="preserve">tika pieņemts lēmums veidot Rail Baltica ekonomisko koridoru, kas nākotnē nodrošinātu </w:t>
      </w:r>
      <w:r w:rsidR="63A561DD" w:rsidRPr="00493755">
        <w:rPr>
          <w:rFonts w:cs="Times New Roman"/>
          <w:sz w:val="24"/>
          <w:szCs w:val="24"/>
        </w:rPr>
        <w:t>lielākus sociāl</w:t>
      </w:r>
      <w:r w:rsidR="68E3A619" w:rsidRPr="00493755">
        <w:rPr>
          <w:rFonts w:cs="Times New Roman"/>
          <w:sz w:val="24"/>
          <w:szCs w:val="24"/>
        </w:rPr>
        <w:t>i</w:t>
      </w:r>
      <w:r w:rsidR="63A561DD" w:rsidRPr="00493755">
        <w:rPr>
          <w:rFonts w:cs="Times New Roman"/>
          <w:sz w:val="24"/>
          <w:szCs w:val="24"/>
        </w:rPr>
        <w:t xml:space="preserve">-ekonomiskos </w:t>
      </w:r>
      <w:r w:rsidR="68E3A619" w:rsidRPr="00493755">
        <w:rPr>
          <w:rFonts w:cs="Times New Roman"/>
          <w:sz w:val="24"/>
          <w:szCs w:val="24"/>
        </w:rPr>
        <w:t>ieguvumus</w:t>
      </w:r>
      <w:r w:rsidR="00B743D9">
        <w:rPr>
          <w:rFonts w:cs="Times New Roman"/>
          <w:sz w:val="24"/>
          <w:szCs w:val="24"/>
        </w:rPr>
        <w:t>, piemēram reģionālo satiksmi</w:t>
      </w:r>
      <w:r w:rsidR="68E3A619" w:rsidRPr="00493755">
        <w:rPr>
          <w:rFonts w:cs="Times New Roman"/>
          <w:sz w:val="24"/>
          <w:szCs w:val="24"/>
        </w:rPr>
        <w:t>. Projekta Latvi</w:t>
      </w:r>
      <w:r w:rsidR="32C35532" w:rsidRPr="00493755">
        <w:rPr>
          <w:rFonts w:cs="Times New Roman"/>
          <w:sz w:val="24"/>
          <w:szCs w:val="24"/>
        </w:rPr>
        <w:t xml:space="preserve">jas apjoma pieaugums </w:t>
      </w:r>
      <w:r w:rsidR="7B8B336F" w:rsidRPr="00493755">
        <w:rPr>
          <w:rFonts w:cs="Times New Roman"/>
          <w:sz w:val="24"/>
          <w:szCs w:val="24"/>
        </w:rPr>
        <w:t xml:space="preserve">ir </w:t>
      </w:r>
      <w:r w:rsidR="32C35532" w:rsidRPr="00493755">
        <w:rPr>
          <w:rFonts w:cs="Times New Roman"/>
          <w:sz w:val="24"/>
          <w:szCs w:val="24"/>
        </w:rPr>
        <w:t>atspoguļots 2.</w:t>
      </w:r>
      <w:r w:rsidR="00BA6F31" w:rsidRPr="00493755">
        <w:rPr>
          <w:rFonts w:cs="Times New Roman"/>
          <w:sz w:val="24"/>
          <w:szCs w:val="24"/>
        </w:rPr>
        <w:t> </w:t>
      </w:r>
      <w:r w:rsidR="32C35532" w:rsidRPr="00493755">
        <w:rPr>
          <w:rFonts w:cs="Times New Roman"/>
          <w:sz w:val="24"/>
          <w:szCs w:val="24"/>
        </w:rPr>
        <w:t xml:space="preserve">tabulā. </w:t>
      </w:r>
    </w:p>
    <w:p w14:paraId="367D71BF" w14:textId="35E9074B" w:rsidR="3606186A" w:rsidRPr="00493755" w:rsidRDefault="3606186A" w:rsidP="3606186A">
      <w:pPr>
        <w:spacing w:after="0" w:line="240" w:lineRule="auto"/>
        <w:ind w:firstLine="720"/>
        <w:jc w:val="both"/>
        <w:rPr>
          <w:rFonts w:cs="Times New Roman"/>
          <w:sz w:val="24"/>
          <w:szCs w:val="24"/>
        </w:rPr>
      </w:pPr>
    </w:p>
    <w:p w14:paraId="5AE22FD3" w14:textId="1A6E8C19" w:rsidR="00C932AC" w:rsidRPr="00493755" w:rsidRDefault="00C932AC" w:rsidP="00BF0A23">
      <w:pPr>
        <w:spacing w:after="0" w:line="240" w:lineRule="auto"/>
        <w:ind w:firstLine="720"/>
        <w:jc w:val="right"/>
        <w:rPr>
          <w:rFonts w:cs="Times New Roman"/>
          <w:sz w:val="20"/>
          <w:szCs w:val="20"/>
        </w:rPr>
      </w:pPr>
      <w:r w:rsidRPr="00493755">
        <w:rPr>
          <w:rFonts w:cs="Times New Roman"/>
          <w:sz w:val="20"/>
          <w:szCs w:val="20"/>
        </w:rPr>
        <w:t>2.</w:t>
      </w:r>
      <w:r w:rsidR="00BA6F31" w:rsidRPr="00493755">
        <w:rPr>
          <w:rFonts w:cs="Times New Roman"/>
          <w:sz w:val="20"/>
          <w:szCs w:val="20"/>
        </w:rPr>
        <w:t> </w:t>
      </w:r>
      <w:r w:rsidRPr="00493755">
        <w:rPr>
          <w:rFonts w:cs="Times New Roman"/>
          <w:sz w:val="20"/>
          <w:szCs w:val="20"/>
        </w:rPr>
        <w:t xml:space="preserve">tabula Latvijas </w:t>
      </w:r>
      <w:r w:rsidR="00BF0A23" w:rsidRPr="00493755">
        <w:rPr>
          <w:rFonts w:cs="Times New Roman"/>
          <w:sz w:val="20"/>
          <w:szCs w:val="20"/>
        </w:rPr>
        <w:t>aktivitāšu apjoma pieaugums</w:t>
      </w:r>
    </w:p>
    <w:tbl>
      <w:tblPr>
        <w:tblStyle w:val="TableGrid"/>
        <w:tblW w:w="0" w:type="auto"/>
        <w:tblLook w:val="04A0" w:firstRow="1" w:lastRow="0" w:firstColumn="1" w:lastColumn="0" w:noHBand="0" w:noVBand="1"/>
      </w:tblPr>
      <w:tblGrid>
        <w:gridCol w:w="5807"/>
        <w:gridCol w:w="2971"/>
      </w:tblGrid>
      <w:tr w:rsidR="00C71961" w:rsidRPr="00493755" w14:paraId="7A061D75" w14:textId="77777777" w:rsidTr="00AE4461">
        <w:tc>
          <w:tcPr>
            <w:tcW w:w="5807" w:type="dxa"/>
          </w:tcPr>
          <w:p w14:paraId="0F105CB7" w14:textId="0A6C1E42" w:rsidR="00C71961" w:rsidRPr="00493755" w:rsidRDefault="00975C65" w:rsidP="0053018F">
            <w:pPr>
              <w:jc w:val="center"/>
              <w:rPr>
                <w:rFonts w:cs="Times New Roman"/>
                <w:sz w:val="20"/>
                <w:szCs w:val="20"/>
              </w:rPr>
            </w:pPr>
            <w:r w:rsidRPr="00493755">
              <w:rPr>
                <w:rFonts w:cs="Times New Roman"/>
                <w:sz w:val="20"/>
                <w:szCs w:val="20"/>
              </w:rPr>
              <w:t>Projekta apjoma palielinājums</w:t>
            </w:r>
          </w:p>
        </w:tc>
        <w:tc>
          <w:tcPr>
            <w:tcW w:w="2971" w:type="dxa"/>
          </w:tcPr>
          <w:p w14:paraId="01C191E1" w14:textId="6E566F09" w:rsidR="00C71961" w:rsidRPr="00493755" w:rsidRDefault="00975C65" w:rsidP="0053018F">
            <w:pPr>
              <w:jc w:val="center"/>
              <w:rPr>
                <w:rFonts w:cs="Times New Roman"/>
                <w:sz w:val="20"/>
                <w:szCs w:val="20"/>
              </w:rPr>
            </w:pPr>
            <w:r w:rsidRPr="00493755">
              <w:rPr>
                <w:rFonts w:cs="Times New Roman"/>
                <w:sz w:val="20"/>
                <w:szCs w:val="20"/>
              </w:rPr>
              <w:t xml:space="preserve">Miljoni </w:t>
            </w:r>
            <w:r w:rsidR="008952D2" w:rsidRPr="00493755">
              <w:rPr>
                <w:rFonts w:cs="Times New Roman"/>
                <w:i/>
                <w:iCs/>
                <w:sz w:val="20"/>
                <w:szCs w:val="20"/>
              </w:rPr>
              <w:t>euro</w:t>
            </w:r>
            <w:r w:rsidR="00093BBC" w:rsidRPr="00493755">
              <w:rPr>
                <w:rFonts w:cs="Times New Roman"/>
                <w:sz w:val="20"/>
                <w:szCs w:val="20"/>
              </w:rPr>
              <w:t>*</w:t>
            </w:r>
          </w:p>
        </w:tc>
      </w:tr>
      <w:tr w:rsidR="00C71961" w:rsidRPr="00493755" w14:paraId="6EDEF308" w14:textId="77777777" w:rsidTr="00AE4461">
        <w:tc>
          <w:tcPr>
            <w:tcW w:w="5807" w:type="dxa"/>
          </w:tcPr>
          <w:p w14:paraId="57A4FE9A" w14:textId="51038C5E" w:rsidR="00C71961" w:rsidRPr="00493755" w:rsidRDefault="00283AD2" w:rsidP="00C71961">
            <w:pPr>
              <w:jc w:val="both"/>
              <w:rPr>
                <w:rFonts w:cs="Times New Roman"/>
                <w:sz w:val="20"/>
                <w:szCs w:val="20"/>
              </w:rPr>
            </w:pPr>
            <w:r w:rsidRPr="00493755">
              <w:rPr>
                <w:rFonts w:cs="Times New Roman"/>
                <w:sz w:val="20"/>
                <w:szCs w:val="20"/>
              </w:rPr>
              <w:t>Reģionālo staciju projektēšana un būvniecība</w:t>
            </w:r>
          </w:p>
        </w:tc>
        <w:tc>
          <w:tcPr>
            <w:tcW w:w="2971" w:type="dxa"/>
          </w:tcPr>
          <w:p w14:paraId="6FC8367B" w14:textId="203CAA9C" w:rsidR="00C71961" w:rsidRPr="00493755" w:rsidRDefault="00AE4461" w:rsidP="00D55493">
            <w:pPr>
              <w:jc w:val="right"/>
              <w:rPr>
                <w:rFonts w:cs="Times New Roman"/>
                <w:sz w:val="20"/>
                <w:szCs w:val="20"/>
              </w:rPr>
            </w:pPr>
            <w:r w:rsidRPr="00493755">
              <w:rPr>
                <w:rFonts w:cs="Times New Roman"/>
                <w:sz w:val="20"/>
                <w:szCs w:val="20"/>
              </w:rPr>
              <w:t>25</w:t>
            </w:r>
          </w:p>
        </w:tc>
      </w:tr>
      <w:tr w:rsidR="00C71961" w:rsidRPr="00493755" w14:paraId="706A71CE" w14:textId="77777777" w:rsidTr="00AE4461">
        <w:tc>
          <w:tcPr>
            <w:tcW w:w="5807" w:type="dxa"/>
          </w:tcPr>
          <w:p w14:paraId="7A1E7EE7" w14:textId="337C5103" w:rsidR="00C71961" w:rsidRPr="00493755" w:rsidRDefault="00AE4461" w:rsidP="00C71961">
            <w:pPr>
              <w:jc w:val="both"/>
              <w:rPr>
                <w:rFonts w:cs="Times New Roman"/>
                <w:sz w:val="20"/>
                <w:szCs w:val="20"/>
              </w:rPr>
            </w:pPr>
            <w:r w:rsidRPr="00493755">
              <w:rPr>
                <w:rFonts w:cs="Times New Roman"/>
                <w:sz w:val="20"/>
                <w:szCs w:val="20"/>
              </w:rPr>
              <w:t>Otras infrastruktūras apkopes vietas projektēšana un būvniecība</w:t>
            </w:r>
          </w:p>
        </w:tc>
        <w:tc>
          <w:tcPr>
            <w:tcW w:w="2971" w:type="dxa"/>
          </w:tcPr>
          <w:p w14:paraId="7EF74DA3" w14:textId="223A9DF0" w:rsidR="00C71961" w:rsidRPr="00493755" w:rsidRDefault="00DF549C" w:rsidP="00D55493">
            <w:pPr>
              <w:jc w:val="right"/>
              <w:rPr>
                <w:rFonts w:cs="Times New Roman"/>
                <w:sz w:val="20"/>
                <w:szCs w:val="20"/>
              </w:rPr>
            </w:pPr>
            <w:r w:rsidRPr="00493755">
              <w:rPr>
                <w:rFonts w:cs="Times New Roman"/>
                <w:sz w:val="20"/>
                <w:szCs w:val="20"/>
              </w:rPr>
              <w:t>6</w:t>
            </w:r>
          </w:p>
        </w:tc>
      </w:tr>
      <w:tr w:rsidR="00C71961" w:rsidRPr="00493755" w14:paraId="7A0EBC45" w14:textId="77777777" w:rsidTr="00AE4461">
        <w:tc>
          <w:tcPr>
            <w:tcW w:w="5807" w:type="dxa"/>
          </w:tcPr>
          <w:p w14:paraId="3E9CD4F6" w14:textId="0D0DA347" w:rsidR="00C71961" w:rsidRPr="00493755" w:rsidRDefault="00C44673" w:rsidP="00C71961">
            <w:pPr>
              <w:jc w:val="both"/>
              <w:rPr>
                <w:rFonts w:cs="Times New Roman"/>
                <w:sz w:val="20"/>
                <w:szCs w:val="20"/>
              </w:rPr>
            </w:pPr>
            <w:r w:rsidRPr="00493755">
              <w:rPr>
                <w:rFonts w:cs="Times New Roman"/>
                <w:sz w:val="20"/>
                <w:szCs w:val="20"/>
              </w:rPr>
              <w:t xml:space="preserve">Papildus pievedceļi un </w:t>
            </w:r>
            <w:r w:rsidR="00DF549C" w:rsidRPr="00493755">
              <w:rPr>
                <w:rFonts w:cs="Times New Roman"/>
                <w:sz w:val="20"/>
                <w:szCs w:val="20"/>
              </w:rPr>
              <w:t>dzīvnieku pārejas</w:t>
            </w:r>
          </w:p>
        </w:tc>
        <w:tc>
          <w:tcPr>
            <w:tcW w:w="2971" w:type="dxa"/>
          </w:tcPr>
          <w:p w14:paraId="21A2B537" w14:textId="74865CE9" w:rsidR="00C71961" w:rsidRPr="00493755" w:rsidRDefault="00DF549C" w:rsidP="00D55493">
            <w:pPr>
              <w:jc w:val="right"/>
              <w:rPr>
                <w:rFonts w:cs="Times New Roman"/>
                <w:sz w:val="20"/>
                <w:szCs w:val="20"/>
              </w:rPr>
            </w:pPr>
            <w:r w:rsidRPr="00493755">
              <w:rPr>
                <w:rFonts w:cs="Times New Roman"/>
                <w:sz w:val="20"/>
                <w:szCs w:val="20"/>
              </w:rPr>
              <w:t>350</w:t>
            </w:r>
          </w:p>
        </w:tc>
      </w:tr>
      <w:tr w:rsidR="00C71961" w:rsidRPr="00493755" w14:paraId="76610A51" w14:textId="77777777" w:rsidTr="00AE4461">
        <w:tc>
          <w:tcPr>
            <w:tcW w:w="5807" w:type="dxa"/>
          </w:tcPr>
          <w:p w14:paraId="2259933C" w14:textId="4B2D808C" w:rsidR="00C71961" w:rsidRPr="00493755" w:rsidRDefault="001538D8" w:rsidP="00C71961">
            <w:pPr>
              <w:jc w:val="both"/>
              <w:rPr>
                <w:rFonts w:cs="Times New Roman"/>
                <w:sz w:val="20"/>
                <w:szCs w:val="20"/>
              </w:rPr>
            </w:pPr>
            <w:r w:rsidRPr="00493755">
              <w:rPr>
                <w:rFonts w:cs="Times New Roman"/>
                <w:sz w:val="20"/>
                <w:szCs w:val="20"/>
              </w:rPr>
              <w:t xml:space="preserve">1520 mm dzelzceļa infrastruktūras optimizācija Rail Baltica </w:t>
            </w:r>
            <w:r w:rsidR="00D55493" w:rsidRPr="00493755">
              <w:rPr>
                <w:rFonts w:cs="Times New Roman"/>
                <w:sz w:val="20"/>
                <w:szCs w:val="20"/>
              </w:rPr>
              <w:t>koridorā</w:t>
            </w:r>
          </w:p>
        </w:tc>
        <w:tc>
          <w:tcPr>
            <w:tcW w:w="2971" w:type="dxa"/>
          </w:tcPr>
          <w:p w14:paraId="61723B7D" w14:textId="7F69D453" w:rsidR="00C71961" w:rsidRPr="00493755" w:rsidRDefault="005F7B36" w:rsidP="00D55493">
            <w:pPr>
              <w:jc w:val="right"/>
              <w:rPr>
                <w:rFonts w:cs="Times New Roman"/>
                <w:sz w:val="20"/>
                <w:szCs w:val="20"/>
              </w:rPr>
            </w:pPr>
            <w:r w:rsidRPr="00493755">
              <w:rPr>
                <w:rFonts w:cs="Times New Roman"/>
                <w:sz w:val="20"/>
                <w:szCs w:val="20"/>
              </w:rPr>
              <w:t>120</w:t>
            </w:r>
          </w:p>
        </w:tc>
      </w:tr>
      <w:tr w:rsidR="00C71961" w:rsidRPr="00493755" w14:paraId="7D4C9124" w14:textId="77777777" w:rsidTr="00AE4461">
        <w:tc>
          <w:tcPr>
            <w:tcW w:w="5807" w:type="dxa"/>
          </w:tcPr>
          <w:p w14:paraId="03D5B273" w14:textId="5B58B470" w:rsidR="00C71961" w:rsidRPr="00493755" w:rsidRDefault="00C40AA7" w:rsidP="00C71961">
            <w:pPr>
              <w:jc w:val="both"/>
              <w:rPr>
                <w:rFonts w:cs="Times New Roman"/>
                <w:sz w:val="20"/>
                <w:szCs w:val="20"/>
              </w:rPr>
            </w:pPr>
            <w:r w:rsidRPr="00493755">
              <w:rPr>
                <w:rFonts w:cs="Times New Roman"/>
                <w:sz w:val="20"/>
                <w:szCs w:val="20"/>
              </w:rPr>
              <w:lastRenderedPageBreak/>
              <w:t xml:space="preserve">Kopā </w:t>
            </w:r>
          </w:p>
        </w:tc>
        <w:tc>
          <w:tcPr>
            <w:tcW w:w="2971" w:type="dxa"/>
          </w:tcPr>
          <w:p w14:paraId="382BA458" w14:textId="2CFD7E5E" w:rsidR="00C71961" w:rsidRPr="00493755" w:rsidRDefault="00C40AA7" w:rsidP="00D55493">
            <w:pPr>
              <w:jc w:val="right"/>
              <w:rPr>
                <w:rFonts w:cs="Times New Roman"/>
                <w:sz w:val="20"/>
                <w:szCs w:val="20"/>
              </w:rPr>
            </w:pPr>
            <w:r w:rsidRPr="00493755">
              <w:rPr>
                <w:rFonts w:cs="Times New Roman"/>
                <w:sz w:val="20"/>
                <w:szCs w:val="20"/>
              </w:rPr>
              <w:t>501</w:t>
            </w:r>
          </w:p>
        </w:tc>
      </w:tr>
    </w:tbl>
    <w:p w14:paraId="776127C7" w14:textId="38A5C838" w:rsidR="009F33DC" w:rsidRPr="00493755" w:rsidRDefault="00DB17AE" w:rsidP="00077751">
      <w:pPr>
        <w:spacing w:after="0" w:line="240" w:lineRule="auto"/>
        <w:rPr>
          <w:rFonts w:cs="Times New Roman"/>
          <w:sz w:val="24"/>
          <w:szCs w:val="24"/>
        </w:rPr>
      </w:pPr>
      <w:r w:rsidRPr="00493755">
        <w:rPr>
          <w:rFonts w:cs="Times New Roman"/>
          <w:sz w:val="24"/>
          <w:szCs w:val="24"/>
        </w:rPr>
        <w:t xml:space="preserve"> </w:t>
      </w:r>
      <w:r w:rsidR="00A747D3" w:rsidRPr="00493755">
        <w:rPr>
          <w:rFonts w:cs="Times New Roman"/>
          <w:sz w:val="24"/>
          <w:szCs w:val="24"/>
        </w:rPr>
        <w:t xml:space="preserve"> </w:t>
      </w:r>
      <w:r w:rsidR="009F33DC" w:rsidRPr="00493755">
        <w:rPr>
          <w:rFonts w:cs="Times New Roman"/>
          <w:sz w:val="24"/>
          <w:szCs w:val="24"/>
        </w:rPr>
        <w:t xml:space="preserve"> </w:t>
      </w:r>
      <w:r w:rsidR="00735407" w:rsidRPr="00493755">
        <w:rPr>
          <w:rFonts w:cs="Times New Roman"/>
          <w:sz w:val="24"/>
          <w:szCs w:val="24"/>
        </w:rPr>
        <w:t>*</w:t>
      </w:r>
      <w:r w:rsidR="00093BBC" w:rsidRPr="00493755">
        <w:rPr>
          <w:rFonts w:cs="Times New Roman"/>
          <w:sz w:val="20"/>
          <w:szCs w:val="20"/>
        </w:rPr>
        <w:t xml:space="preserve">Minētie skaitļi ir aplēses, kuras veidotas </w:t>
      </w:r>
      <w:r w:rsidR="00735407" w:rsidRPr="00493755">
        <w:rPr>
          <w:rFonts w:cs="Times New Roman"/>
          <w:sz w:val="20"/>
          <w:szCs w:val="20"/>
        </w:rPr>
        <w:t>pirms projektēšanas posma noslēgšanas.</w:t>
      </w:r>
      <w:r w:rsidR="00735407" w:rsidRPr="00493755">
        <w:rPr>
          <w:rFonts w:cs="Times New Roman"/>
          <w:sz w:val="24"/>
          <w:szCs w:val="24"/>
        </w:rPr>
        <w:t xml:space="preserve"> </w:t>
      </w:r>
    </w:p>
    <w:p w14:paraId="548C0E08" w14:textId="77777777" w:rsidR="00C83DBE" w:rsidRPr="00493755" w:rsidRDefault="00C83DBE" w:rsidP="00CE3341">
      <w:pPr>
        <w:spacing w:after="0" w:line="240" w:lineRule="auto"/>
        <w:ind w:firstLine="720"/>
        <w:jc w:val="both"/>
        <w:rPr>
          <w:rFonts w:cs="Times New Roman"/>
          <w:noProof/>
          <w:sz w:val="24"/>
          <w:szCs w:val="24"/>
        </w:rPr>
      </w:pPr>
    </w:p>
    <w:p w14:paraId="5297768A" w14:textId="33D92DFE" w:rsidR="00D152F6" w:rsidRPr="00493755" w:rsidRDefault="61A8F975" w:rsidP="00CE3341">
      <w:pPr>
        <w:spacing w:after="0" w:line="240" w:lineRule="auto"/>
        <w:ind w:firstLine="720"/>
        <w:jc w:val="both"/>
        <w:rPr>
          <w:rFonts w:cs="Times New Roman"/>
          <w:sz w:val="20"/>
          <w:szCs w:val="20"/>
        </w:rPr>
      </w:pPr>
      <w:r w:rsidRPr="00493755">
        <w:rPr>
          <w:rFonts w:cs="Times New Roman"/>
          <w:noProof/>
          <w:sz w:val="24"/>
          <w:szCs w:val="24"/>
        </w:rPr>
        <w:t xml:space="preserve">Laika </w:t>
      </w:r>
      <w:r w:rsidR="6FAEAE8B" w:rsidRPr="00493755">
        <w:rPr>
          <w:rFonts w:cs="Times New Roman"/>
          <w:noProof/>
          <w:sz w:val="24"/>
          <w:szCs w:val="24"/>
        </w:rPr>
        <w:t xml:space="preserve">posmā no </w:t>
      </w:r>
      <w:r w:rsidR="404AB1F8" w:rsidRPr="00493755">
        <w:rPr>
          <w:rFonts w:cs="Times New Roman"/>
          <w:noProof/>
          <w:sz w:val="24"/>
          <w:szCs w:val="24"/>
        </w:rPr>
        <w:t>2016.</w:t>
      </w:r>
      <w:r w:rsidR="00BA6F31" w:rsidRPr="00493755">
        <w:rPr>
          <w:rFonts w:cs="Times New Roman"/>
          <w:noProof/>
          <w:sz w:val="24"/>
          <w:szCs w:val="24"/>
        </w:rPr>
        <w:t> </w:t>
      </w:r>
      <w:r w:rsidR="404AB1F8" w:rsidRPr="00493755">
        <w:rPr>
          <w:rFonts w:cs="Times New Roman"/>
          <w:noProof/>
          <w:sz w:val="24"/>
          <w:szCs w:val="24"/>
        </w:rPr>
        <w:t xml:space="preserve">gada ir </w:t>
      </w:r>
      <w:r w:rsidR="6CEFF119" w:rsidRPr="00493755">
        <w:rPr>
          <w:rFonts w:cs="Times New Roman"/>
          <w:noProof/>
          <w:sz w:val="24"/>
          <w:szCs w:val="24"/>
        </w:rPr>
        <w:t xml:space="preserve">ievērojami </w:t>
      </w:r>
      <w:r w:rsidR="404AB1F8" w:rsidRPr="00493755">
        <w:rPr>
          <w:rFonts w:cs="Times New Roman"/>
          <w:noProof/>
          <w:sz w:val="24"/>
          <w:szCs w:val="24"/>
        </w:rPr>
        <w:t xml:space="preserve">pieaugušas darbaspēka un izejvielu izmaksas. </w:t>
      </w:r>
      <w:r w:rsidR="38CCB598" w:rsidRPr="00493755">
        <w:rPr>
          <w:rFonts w:cs="Times New Roman"/>
          <w:noProof/>
          <w:sz w:val="24"/>
          <w:szCs w:val="24"/>
        </w:rPr>
        <w:t>Detalizēt</w:t>
      </w:r>
      <w:r w:rsidR="7BC97067" w:rsidRPr="00493755">
        <w:rPr>
          <w:rFonts w:cs="Times New Roman"/>
          <w:noProof/>
          <w:sz w:val="24"/>
          <w:szCs w:val="24"/>
        </w:rPr>
        <w:t>a</w:t>
      </w:r>
      <w:r w:rsidR="38CCB598" w:rsidRPr="00493755">
        <w:rPr>
          <w:rFonts w:cs="Times New Roman"/>
          <w:noProof/>
          <w:sz w:val="24"/>
          <w:szCs w:val="24"/>
        </w:rPr>
        <w:t xml:space="preserve"> izmaksu pieauguma</w:t>
      </w:r>
      <w:r w:rsidR="7BC97067" w:rsidRPr="00493755">
        <w:rPr>
          <w:rFonts w:cs="Times New Roman"/>
          <w:noProof/>
          <w:sz w:val="24"/>
          <w:szCs w:val="24"/>
        </w:rPr>
        <w:t xml:space="preserve"> aplēse</w:t>
      </w:r>
      <w:r w:rsidR="2A7C434F" w:rsidRPr="00493755">
        <w:rPr>
          <w:rFonts w:cs="Times New Roman"/>
          <w:noProof/>
          <w:sz w:val="24"/>
          <w:szCs w:val="24"/>
        </w:rPr>
        <w:t>,</w:t>
      </w:r>
      <w:r w:rsidR="38CCB598" w:rsidRPr="00493755">
        <w:rPr>
          <w:rFonts w:cs="Times New Roman"/>
          <w:noProof/>
          <w:sz w:val="24"/>
          <w:szCs w:val="24"/>
        </w:rPr>
        <w:t xml:space="preserve"> </w:t>
      </w:r>
      <w:r w:rsidR="79E3A022" w:rsidRPr="00493755">
        <w:rPr>
          <w:rFonts w:cs="Times New Roman"/>
          <w:noProof/>
          <w:sz w:val="24"/>
          <w:szCs w:val="24"/>
        </w:rPr>
        <w:t xml:space="preserve">izmantojot </w:t>
      </w:r>
      <w:r w:rsidR="2A13A381" w:rsidRPr="00493755">
        <w:rPr>
          <w:rFonts w:cs="Times New Roman"/>
          <w:noProof/>
          <w:sz w:val="24"/>
          <w:szCs w:val="24"/>
        </w:rPr>
        <w:t>EUROSTAT datus</w:t>
      </w:r>
      <w:r w:rsidR="2A7C434F" w:rsidRPr="00493755">
        <w:rPr>
          <w:rFonts w:cs="Times New Roman"/>
          <w:noProof/>
          <w:sz w:val="24"/>
          <w:szCs w:val="24"/>
        </w:rPr>
        <w:t>, ir</w:t>
      </w:r>
      <w:r w:rsidR="2A13A381" w:rsidRPr="00493755">
        <w:rPr>
          <w:rFonts w:cs="Times New Roman"/>
          <w:noProof/>
          <w:sz w:val="24"/>
          <w:szCs w:val="24"/>
        </w:rPr>
        <w:t xml:space="preserve"> </w:t>
      </w:r>
      <w:r w:rsidR="38CCB598" w:rsidRPr="00493755">
        <w:rPr>
          <w:rFonts w:cs="Times New Roman"/>
          <w:noProof/>
          <w:sz w:val="24"/>
          <w:szCs w:val="24"/>
        </w:rPr>
        <w:t>atspoguļot</w:t>
      </w:r>
      <w:r w:rsidR="7BC97067" w:rsidRPr="00493755">
        <w:rPr>
          <w:rFonts w:cs="Times New Roman"/>
          <w:noProof/>
          <w:sz w:val="24"/>
          <w:szCs w:val="24"/>
        </w:rPr>
        <w:t>a</w:t>
      </w:r>
      <w:r w:rsidR="38CCB598" w:rsidRPr="00493755">
        <w:rPr>
          <w:rFonts w:cs="Times New Roman"/>
          <w:noProof/>
          <w:sz w:val="24"/>
          <w:szCs w:val="24"/>
        </w:rPr>
        <w:t xml:space="preserve"> 3.</w:t>
      </w:r>
      <w:r w:rsidR="00BA6F31" w:rsidRPr="00493755">
        <w:rPr>
          <w:rFonts w:cs="Times New Roman"/>
          <w:noProof/>
          <w:sz w:val="24"/>
          <w:szCs w:val="24"/>
        </w:rPr>
        <w:t> </w:t>
      </w:r>
      <w:r w:rsidR="38CCB598" w:rsidRPr="00493755">
        <w:rPr>
          <w:rFonts w:cs="Times New Roman"/>
          <w:noProof/>
          <w:sz w:val="24"/>
          <w:szCs w:val="24"/>
        </w:rPr>
        <w:t>tabulā.</w:t>
      </w:r>
    </w:p>
    <w:p w14:paraId="45D78422" w14:textId="2DC635B4" w:rsidR="00E65CD1" w:rsidRPr="00493755" w:rsidRDefault="7F1C1F1D" w:rsidP="00501895">
      <w:pPr>
        <w:spacing w:after="0" w:line="240" w:lineRule="auto"/>
        <w:jc w:val="right"/>
        <w:rPr>
          <w:rFonts w:cs="Times New Roman"/>
          <w:sz w:val="20"/>
          <w:szCs w:val="20"/>
        </w:rPr>
      </w:pPr>
      <w:r w:rsidRPr="00493755">
        <w:rPr>
          <w:rFonts w:cs="Times New Roman"/>
          <w:sz w:val="20"/>
          <w:szCs w:val="20"/>
        </w:rPr>
        <w:t>3.</w:t>
      </w:r>
      <w:r w:rsidR="00BA6F31" w:rsidRPr="00493755">
        <w:rPr>
          <w:rFonts w:cs="Times New Roman"/>
          <w:sz w:val="20"/>
          <w:szCs w:val="20"/>
        </w:rPr>
        <w:t> </w:t>
      </w:r>
      <w:r w:rsidRPr="00493755">
        <w:rPr>
          <w:rFonts w:cs="Times New Roman"/>
          <w:sz w:val="20"/>
          <w:szCs w:val="20"/>
        </w:rPr>
        <w:t xml:space="preserve">tabula Izmaksu pieaugums </w:t>
      </w:r>
      <w:r w:rsidR="36D52F30" w:rsidRPr="00493755">
        <w:rPr>
          <w:rFonts w:cs="Times New Roman"/>
          <w:sz w:val="20"/>
          <w:szCs w:val="20"/>
        </w:rPr>
        <w:t>2016-2021,</w:t>
      </w:r>
      <w:r w:rsidR="40395A7D" w:rsidRPr="00493755">
        <w:rPr>
          <w:rFonts w:cs="Times New Roman"/>
          <w:sz w:val="20"/>
          <w:szCs w:val="20"/>
        </w:rPr>
        <w:t xml:space="preserve"> </w:t>
      </w:r>
      <w:r w:rsidR="554CD7CC" w:rsidRPr="00493755">
        <w:rPr>
          <w:rFonts w:cs="Times New Roman"/>
          <w:sz w:val="20"/>
          <w:szCs w:val="20"/>
        </w:rPr>
        <w:t>%</w:t>
      </w:r>
      <w:r w:rsidRPr="00493755">
        <w:rPr>
          <w:rFonts w:cs="Times New Roman"/>
          <w:sz w:val="20"/>
          <w:szCs w:val="20"/>
        </w:rPr>
        <w:t xml:space="preserve"> </w:t>
      </w:r>
    </w:p>
    <w:tbl>
      <w:tblPr>
        <w:tblStyle w:val="TableGrid"/>
        <w:tblW w:w="8784" w:type="dxa"/>
        <w:tblLook w:val="04A0" w:firstRow="1" w:lastRow="0" w:firstColumn="1" w:lastColumn="0" w:noHBand="0" w:noVBand="1"/>
      </w:tblPr>
      <w:tblGrid>
        <w:gridCol w:w="1271"/>
        <w:gridCol w:w="1276"/>
        <w:gridCol w:w="1842"/>
        <w:gridCol w:w="1985"/>
        <w:gridCol w:w="2410"/>
      </w:tblGrid>
      <w:tr w:rsidR="00557A5C" w:rsidRPr="00493755" w14:paraId="09918B6C" w14:textId="77777777" w:rsidTr="00557A5C">
        <w:tc>
          <w:tcPr>
            <w:tcW w:w="1271" w:type="dxa"/>
          </w:tcPr>
          <w:p w14:paraId="7059F57A" w14:textId="77777777" w:rsidR="00557A5C" w:rsidRPr="00493755" w:rsidRDefault="00557A5C" w:rsidP="00501895">
            <w:pPr>
              <w:jc w:val="right"/>
              <w:rPr>
                <w:rFonts w:cs="Times New Roman"/>
                <w:sz w:val="20"/>
                <w:szCs w:val="20"/>
              </w:rPr>
            </w:pPr>
          </w:p>
        </w:tc>
        <w:tc>
          <w:tcPr>
            <w:tcW w:w="1276" w:type="dxa"/>
          </w:tcPr>
          <w:p w14:paraId="1A4CDACF" w14:textId="77777777" w:rsidR="00A37B34" w:rsidRPr="00493755" w:rsidRDefault="00A37B34" w:rsidP="003402BA">
            <w:pPr>
              <w:jc w:val="center"/>
              <w:rPr>
                <w:rFonts w:cs="Times New Roman"/>
                <w:sz w:val="20"/>
                <w:szCs w:val="20"/>
              </w:rPr>
            </w:pPr>
          </w:p>
          <w:p w14:paraId="462B44BA" w14:textId="40370879" w:rsidR="00557A5C" w:rsidRPr="00493755" w:rsidRDefault="00557A5C" w:rsidP="003402BA">
            <w:pPr>
              <w:jc w:val="center"/>
              <w:rPr>
                <w:rFonts w:cs="Times New Roman"/>
                <w:sz w:val="20"/>
                <w:szCs w:val="20"/>
              </w:rPr>
            </w:pPr>
            <w:r w:rsidRPr="00493755">
              <w:rPr>
                <w:rFonts w:cs="Times New Roman"/>
                <w:sz w:val="20"/>
                <w:szCs w:val="20"/>
              </w:rPr>
              <w:t>Svērtā likme</w:t>
            </w:r>
          </w:p>
        </w:tc>
        <w:tc>
          <w:tcPr>
            <w:tcW w:w="1842" w:type="dxa"/>
          </w:tcPr>
          <w:p w14:paraId="04F873B5" w14:textId="46C5E220" w:rsidR="00557A5C" w:rsidRPr="00493755" w:rsidRDefault="00557A5C" w:rsidP="003402BA">
            <w:pPr>
              <w:jc w:val="center"/>
              <w:rPr>
                <w:rFonts w:cs="Times New Roman"/>
                <w:sz w:val="20"/>
                <w:szCs w:val="20"/>
              </w:rPr>
            </w:pPr>
            <w:r w:rsidRPr="00493755">
              <w:rPr>
                <w:rFonts w:cs="Times New Roman"/>
                <w:sz w:val="20"/>
                <w:szCs w:val="20"/>
              </w:rPr>
              <w:t>Pieauguma indeksa ievad</w:t>
            </w:r>
            <w:r w:rsidR="0032636E" w:rsidRPr="00493755">
              <w:rPr>
                <w:rFonts w:cs="Times New Roman"/>
                <w:sz w:val="20"/>
                <w:szCs w:val="20"/>
              </w:rPr>
              <w:t xml:space="preserve">a </w:t>
            </w:r>
            <w:r w:rsidRPr="00493755">
              <w:rPr>
                <w:rFonts w:cs="Times New Roman"/>
                <w:sz w:val="20"/>
                <w:szCs w:val="20"/>
              </w:rPr>
              <w:t>dati</w:t>
            </w:r>
          </w:p>
        </w:tc>
        <w:tc>
          <w:tcPr>
            <w:tcW w:w="1985" w:type="dxa"/>
          </w:tcPr>
          <w:p w14:paraId="4A7B9BF4" w14:textId="2AA3F439" w:rsidR="00557A5C" w:rsidRPr="00493755" w:rsidRDefault="00557A5C" w:rsidP="003402BA">
            <w:pPr>
              <w:jc w:val="center"/>
              <w:rPr>
                <w:rFonts w:cs="Times New Roman"/>
                <w:sz w:val="20"/>
                <w:szCs w:val="20"/>
              </w:rPr>
            </w:pPr>
            <w:r w:rsidRPr="00493755">
              <w:rPr>
                <w:rFonts w:cs="Times New Roman"/>
                <w:sz w:val="20"/>
                <w:szCs w:val="20"/>
              </w:rPr>
              <w:t>Izejvielas (cements, koks, dzelzs, nafta)</w:t>
            </w:r>
          </w:p>
        </w:tc>
        <w:tc>
          <w:tcPr>
            <w:tcW w:w="2410" w:type="dxa"/>
          </w:tcPr>
          <w:p w14:paraId="031AB823" w14:textId="70FBAAD9" w:rsidR="00557A5C" w:rsidRPr="00493755" w:rsidRDefault="00557A5C" w:rsidP="003402BA">
            <w:pPr>
              <w:jc w:val="center"/>
              <w:rPr>
                <w:rFonts w:cs="Times New Roman"/>
                <w:sz w:val="20"/>
                <w:szCs w:val="20"/>
              </w:rPr>
            </w:pPr>
            <w:r w:rsidRPr="00493755">
              <w:rPr>
                <w:rFonts w:cs="Times New Roman"/>
                <w:sz w:val="20"/>
                <w:szCs w:val="20"/>
              </w:rPr>
              <w:t>Pieauguma indeksa rezultāts</w:t>
            </w:r>
          </w:p>
        </w:tc>
      </w:tr>
      <w:tr w:rsidR="00557A5C" w:rsidRPr="00493755" w14:paraId="1F8F4CE0" w14:textId="77777777" w:rsidTr="00557A5C">
        <w:tc>
          <w:tcPr>
            <w:tcW w:w="1271" w:type="dxa"/>
          </w:tcPr>
          <w:p w14:paraId="2F9E665B" w14:textId="0BBFDAD4" w:rsidR="00557A5C" w:rsidRPr="00493755" w:rsidRDefault="00557A5C" w:rsidP="00134A88">
            <w:pPr>
              <w:rPr>
                <w:rFonts w:cs="Times New Roman"/>
                <w:sz w:val="20"/>
                <w:szCs w:val="20"/>
              </w:rPr>
            </w:pPr>
            <w:r w:rsidRPr="00493755">
              <w:rPr>
                <w:rFonts w:cs="Times New Roman"/>
                <w:sz w:val="20"/>
                <w:szCs w:val="20"/>
              </w:rPr>
              <w:t>Izejvielas</w:t>
            </w:r>
          </w:p>
        </w:tc>
        <w:tc>
          <w:tcPr>
            <w:tcW w:w="1276" w:type="dxa"/>
          </w:tcPr>
          <w:p w14:paraId="6AC98CC5" w14:textId="017E2D51" w:rsidR="00557A5C" w:rsidRPr="00493755" w:rsidRDefault="003402BA" w:rsidP="00501895">
            <w:pPr>
              <w:jc w:val="right"/>
              <w:rPr>
                <w:rFonts w:cs="Times New Roman"/>
                <w:sz w:val="20"/>
                <w:szCs w:val="20"/>
              </w:rPr>
            </w:pPr>
            <w:r w:rsidRPr="00493755">
              <w:rPr>
                <w:rFonts w:cs="Times New Roman"/>
                <w:sz w:val="20"/>
                <w:szCs w:val="20"/>
              </w:rPr>
              <w:t>50%</w:t>
            </w:r>
          </w:p>
        </w:tc>
        <w:tc>
          <w:tcPr>
            <w:tcW w:w="1842" w:type="dxa"/>
          </w:tcPr>
          <w:p w14:paraId="512A47FE" w14:textId="6864E331" w:rsidR="00557A5C" w:rsidRPr="00493755" w:rsidRDefault="008A6AD7" w:rsidP="00501895">
            <w:pPr>
              <w:jc w:val="right"/>
              <w:rPr>
                <w:rFonts w:cs="Times New Roman"/>
                <w:sz w:val="20"/>
                <w:szCs w:val="20"/>
              </w:rPr>
            </w:pPr>
            <w:r w:rsidRPr="00493755">
              <w:rPr>
                <w:rFonts w:cs="Times New Roman"/>
                <w:sz w:val="20"/>
                <w:szCs w:val="20"/>
              </w:rPr>
              <w:t>70%</w:t>
            </w:r>
          </w:p>
        </w:tc>
        <w:tc>
          <w:tcPr>
            <w:tcW w:w="1985" w:type="dxa"/>
          </w:tcPr>
          <w:p w14:paraId="5E18C0CD" w14:textId="0EFCBBDA" w:rsidR="00557A5C" w:rsidRPr="00493755" w:rsidRDefault="008A6AD7" w:rsidP="00501895">
            <w:pPr>
              <w:jc w:val="right"/>
              <w:rPr>
                <w:rFonts w:cs="Times New Roman"/>
                <w:sz w:val="20"/>
                <w:szCs w:val="20"/>
              </w:rPr>
            </w:pPr>
            <w:r w:rsidRPr="00493755">
              <w:rPr>
                <w:rFonts w:cs="Times New Roman"/>
                <w:sz w:val="20"/>
                <w:szCs w:val="20"/>
              </w:rPr>
              <w:t>56%</w:t>
            </w:r>
          </w:p>
        </w:tc>
        <w:tc>
          <w:tcPr>
            <w:tcW w:w="2410" w:type="dxa"/>
          </w:tcPr>
          <w:p w14:paraId="76A95707" w14:textId="3117EF7A" w:rsidR="00557A5C" w:rsidRPr="00493755" w:rsidRDefault="008A6AD7" w:rsidP="00501895">
            <w:pPr>
              <w:jc w:val="right"/>
              <w:rPr>
                <w:rFonts w:cs="Times New Roman"/>
                <w:sz w:val="20"/>
                <w:szCs w:val="20"/>
              </w:rPr>
            </w:pPr>
            <w:r w:rsidRPr="00493755">
              <w:rPr>
                <w:rFonts w:cs="Times New Roman"/>
                <w:sz w:val="20"/>
                <w:szCs w:val="20"/>
              </w:rPr>
              <w:t>35%</w:t>
            </w:r>
          </w:p>
        </w:tc>
      </w:tr>
      <w:tr w:rsidR="00557A5C" w:rsidRPr="00493755" w14:paraId="5B42049C" w14:textId="77777777" w:rsidTr="00557A5C">
        <w:tc>
          <w:tcPr>
            <w:tcW w:w="1271" w:type="dxa"/>
          </w:tcPr>
          <w:p w14:paraId="5784F3CE" w14:textId="4F6A2363" w:rsidR="00557A5C" w:rsidRPr="00493755" w:rsidRDefault="00557A5C" w:rsidP="00134A88">
            <w:pPr>
              <w:rPr>
                <w:rFonts w:cs="Times New Roman"/>
                <w:sz w:val="20"/>
                <w:szCs w:val="20"/>
              </w:rPr>
            </w:pPr>
            <w:r w:rsidRPr="00493755">
              <w:rPr>
                <w:rFonts w:cs="Times New Roman"/>
                <w:sz w:val="20"/>
                <w:szCs w:val="20"/>
              </w:rPr>
              <w:t>Darbaspēks</w:t>
            </w:r>
          </w:p>
        </w:tc>
        <w:tc>
          <w:tcPr>
            <w:tcW w:w="1276" w:type="dxa"/>
          </w:tcPr>
          <w:p w14:paraId="228A1C26" w14:textId="449DDDEF" w:rsidR="00557A5C" w:rsidRPr="00493755" w:rsidRDefault="003402BA" w:rsidP="00501895">
            <w:pPr>
              <w:jc w:val="right"/>
              <w:rPr>
                <w:rFonts w:cs="Times New Roman"/>
                <w:sz w:val="20"/>
                <w:szCs w:val="20"/>
              </w:rPr>
            </w:pPr>
            <w:r w:rsidRPr="00493755">
              <w:rPr>
                <w:rFonts w:cs="Times New Roman"/>
                <w:sz w:val="20"/>
                <w:szCs w:val="20"/>
              </w:rPr>
              <w:t>35%</w:t>
            </w:r>
          </w:p>
        </w:tc>
        <w:tc>
          <w:tcPr>
            <w:tcW w:w="1842" w:type="dxa"/>
          </w:tcPr>
          <w:p w14:paraId="2766B061" w14:textId="4A12F49F" w:rsidR="00557A5C" w:rsidRPr="00493755" w:rsidRDefault="008A6AD7" w:rsidP="00501895">
            <w:pPr>
              <w:jc w:val="right"/>
              <w:rPr>
                <w:rFonts w:cs="Times New Roman"/>
                <w:sz w:val="20"/>
                <w:szCs w:val="20"/>
              </w:rPr>
            </w:pPr>
            <w:r w:rsidRPr="00493755">
              <w:rPr>
                <w:rFonts w:cs="Times New Roman"/>
                <w:sz w:val="20"/>
                <w:szCs w:val="20"/>
              </w:rPr>
              <w:t>45%</w:t>
            </w:r>
          </w:p>
        </w:tc>
        <w:tc>
          <w:tcPr>
            <w:tcW w:w="1985" w:type="dxa"/>
          </w:tcPr>
          <w:p w14:paraId="29893329" w14:textId="01644733" w:rsidR="00557A5C" w:rsidRPr="00493755" w:rsidRDefault="008A6AD7" w:rsidP="00501895">
            <w:pPr>
              <w:jc w:val="right"/>
              <w:rPr>
                <w:rFonts w:cs="Times New Roman"/>
                <w:sz w:val="20"/>
                <w:szCs w:val="20"/>
              </w:rPr>
            </w:pPr>
            <w:r w:rsidRPr="00493755">
              <w:rPr>
                <w:rFonts w:cs="Times New Roman"/>
                <w:sz w:val="20"/>
                <w:szCs w:val="20"/>
              </w:rPr>
              <w:t>45%</w:t>
            </w:r>
          </w:p>
        </w:tc>
        <w:tc>
          <w:tcPr>
            <w:tcW w:w="2410" w:type="dxa"/>
          </w:tcPr>
          <w:p w14:paraId="0F7C6F09" w14:textId="2623ED38" w:rsidR="00557A5C" w:rsidRPr="00493755" w:rsidRDefault="0015446D" w:rsidP="00501895">
            <w:pPr>
              <w:jc w:val="right"/>
              <w:rPr>
                <w:rFonts w:cs="Times New Roman"/>
                <w:sz w:val="20"/>
                <w:szCs w:val="20"/>
              </w:rPr>
            </w:pPr>
            <w:r w:rsidRPr="00493755">
              <w:rPr>
                <w:rFonts w:cs="Times New Roman"/>
                <w:sz w:val="20"/>
                <w:szCs w:val="20"/>
              </w:rPr>
              <w:t>16%</w:t>
            </w:r>
          </w:p>
        </w:tc>
      </w:tr>
      <w:tr w:rsidR="00557A5C" w:rsidRPr="00493755" w14:paraId="10849EC9" w14:textId="77777777" w:rsidTr="00557A5C">
        <w:tc>
          <w:tcPr>
            <w:tcW w:w="1271" w:type="dxa"/>
          </w:tcPr>
          <w:p w14:paraId="3DC7A9FA" w14:textId="5B851919" w:rsidR="00557A5C" w:rsidRPr="00493755" w:rsidRDefault="0015446D" w:rsidP="00501895">
            <w:pPr>
              <w:jc w:val="right"/>
              <w:rPr>
                <w:rFonts w:cs="Times New Roman"/>
                <w:sz w:val="20"/>
                <w:szCs w:val="20"/>
              </w:rPr>
            </w:pPr>
            <w:r w:rsidRPr="00493755">
              <w:rPr>
                <w:rFonts w:cs="Times New Roman"/>
                <w:sz w:val="20"/>
                <w:szCs w:val="20"/>
              </w:rPr>
              <w:t xml:space="preserve">Kopā </w:t>
            </w:r>
          </w:p>
        </w:tc>
        <w:tc>
          <w:tcPr>
            <w:tcW w:w="1276" w:type="dxa"/>
          </w:tcPr>
          <w:p w14:paraId="2FD0AC98" w14:textId="77777777" w:rsidR="00557A5C" w:rsidRPr="00493755" w:rsidRDefault="00557A5C" w:rsidP="00501895">
            <w:pPr>
              <w:jc w:val="right"/>
              <w:rPr>
                <w:rFonts w:cs="Times New Roman"/>
                <w:sz w:val="20"/>
                <w:szCs w:val="20"/>
              </w:rPr>
            </w:pPr>
          </w:p>
        </w:tc>
        <w:tc>
          <w:tcPr>
            <w:tcW w:w="1842" w:type="dxa"/>
          </w:tcPr>
          <w:p w14:paraId="737A15B6" w14:textId="77777777" w:rsidR="00557A5C" w:rsidRPr="00493755" w:rsidRDefault="00557A5C" w:rsidP="00501895">
            <w:pPr>
              <w:jc w:val="right"/>
              <w:rPr>
                <w:rFonts w:cs="Times New Roman"/>
                <w:sz w:val="20"/>
                <w:szCs w:val="20"/>
              </w:rPr>
            </w:pPr>
          </w:p>
        </w:tc>
        <w:tc>
          <w:tcPr>
            <w:tcW w:w="1985" w:type="dxa"/>
          </w:tcPr>
          <w:p w14:paraId="2D9FE6CC" w14:textId="77777777" w:rsidR="00557A5C" w:rsidRPr="00493755" w:rsidRDefault="00557A5C" w:rsidP="00501895">
            <w:pPr>
              <w:jc w:val="right"/>
              <w:rPr>
                <w:rFonts w:cs="Times New Roman"/>
                <w:sz w:val="20"/>
                <w:szCs w:val="20"/>
              </w:rPr>
            </w:pPr>
          </w:p>
        </w:tc>
        <w:tc>
          <w:tcPr>
            <w:tcW w:w="2410" w:type="dxa"/>
          </w:tcPr>
          <w:p w14:paraId="6A65E75D" w14:textId="69789E08" w:rsidR="00557A5C" w:rsidRPr="00493755" w:rsidRDefault="00BA626D" w:rsidP="00501895">
            <w:pPr>
              <w:jc w:val="right"/>
              <w:rPr>
                <w:rFonts w:cs="Times New Roman"/>
                <w:sz w:val="20"/>
                <w:szCs w:val="20"/>
              </w:rPr>
            </w:pPr>
            <w:r w:rsidRPr="00493755">
              <w:rPr>
                <w:rFonts w:cs="Times New Roman"/>
                <w:sz w:val="20"/>
                <w:szCs w:val="20"/>
              </w:rPr>
              <w:t>51%</w:t>
            </w:r>
          </w:p>
        </w:tc>
      </w:tr>
    </w:tbl>
    <w:p w14:paraId="30A4F05C" w14:textId="77777777" w:rsidR="008A7A31" w:rsidRPr="00493755" w:rsidRDefault="008A7A31" w:rsidP="00501895">
      <w:pPr>
        <w:spacing w:after="0" w:line="240" w:lineRule="auto"/>
        <w:jc w:val="right"/>
        <w:rPr>
          <w:rFonts w:cs="Times New Roman"/>
          <w:sz w:val="20"/>
          <w:szCs w:val="20"/>
        </w:rPr>
      </w:pPr>
    </w:p>
    <w:p w14:paraId="53973D60" w14:textId="4B5A4E59" w:rsidR="00E009E1" w:rsidRPr="00493755" w:rsidRDefault="0025595B" w:rsidP="00FE3B35">
      <w:pPr>
        <w:spacing w:after="0" w:line="240" w:lineRule="auto"/>
        <w:jc w:val="both"/>
        <w:rPr>
          <w:rFonts w:cs="Times New Roman"/>
          <w:sz w:val="24"/>
          <w:szCs w:val="24"/>
        </w:rPr>
      </w:pPr>
      <w:r w:rsidRPr="00493755">
        <w:rPr>
          <w:rFonts w:cs="Times New Roman"/>
          <w:sz w:val="24"/>
          <w:szCs w:val="24"/>
        </w:rPr>
        <w:tab/>
      </w:r>
      <w:r w:rsidR="4FA539C9" w:rsidRPr="00493755">
        <w:rPr>
          <w:rFonts w:cs="Times New Roman"/>
          <w:sz w:val="24"/>
          <w:szCs w:val="24"/>
        </w:rPr>
        <w:t xml:space="preserve">Tātad </w:t>
      </w:r>
      <w:r w:rsidR="40395A7D" w:rsidRPr="00493755">
        <w:rPr>
          <w:rFonts w:cs="Times New Roman"/>
          <w:sz w:val="24"/>
          <w:szCs w:val="24"/>
        </w:rPr>
        <w:t xml:space="preserve">laika posmā kopš </w:t>
      </w:r>
      <w:r w:rsidR="5D6CA815" w:rsidRPr="00493755">
        <w:rPr>
          <w:rFonts w:cs="Times New Roman"/>
          <w:sz w:val="24"/>
          <w:szCs w:val="24"/>
        </w:rPr>
        <w:t>2016.</w:t>
      </w:r>
      <w:r w:rsidR="00BA6F31" w:rsidRPr="00493755">
        <w:rPr>
          <w:rFonts w:cs="Times New Roman"/>
          <w:sz w:val="24"/>
          <w:szCs w:val="24"/>
        </w:rPr>
        <w:t> </w:t>
      </w:r>
      <w:r w:rsidR="5D6CA815" w:rsidRPr="00493755">
        <w:rPr>
          <w:rFonts w:cs="Times New Roman"/>
          <w:sz w:val="24"/>
          <w:szCs w:val="24"/>
        </w:rPr>
        <w:t xml:space="preserve">gada </w:t>
      </w:r>
      <w:r w:rsidR="38BBEC29" w:rsidRPr="00493755">
        <w:rPr>
          <w:rFonts w:cs="Times New Roman"/>
          <w:sz w:val="24"/>
          <w:szCs w:val="24"/>
        </w:rPr>
        <w:t xml:space="preserve">Projekta Latvijas </w:t>
      </w:r>
      <w:r w:rsidR="1B263E2A" w:rsidRPr="00493755">
        <w:rPr>
          <w:rFonts w:cs="Times New Roman"/>
          <w:sz w:val="24"/>
          <w:szCs w:val="24"/>
        </w:rPr>
        <w:t xml:space="preserve">aktivitāšu izmaksas statistiski ir pieaugušas par 51 % jeb </w:t>
      </w:r>
      <w:r w:rsidR="4D3BD508" w:rsidRPr="00493755">
        <w:rPr>
          <w:rFonts w:cs="Times New Roman"/>
          <w:sz w:val="24"/>
          <w:szCs w:val="24"/>
        </w:rPr>
        <w:t xml:space="preserve">979 </w:t>
      </w:r>
      <w:r w:rsidR="01354A98" w:rsidRPr="00493755">
        <w:rPr>
          <w:rFonts w:cs="Times New Roman"/>
          <w:sz w:val="24"/>
          <w:szCs w:val="24"/>
        </w:rPr>
        <w:t xml:space="preserve">miljoniem </w:t>
      </w:r>
      <w:r w:rsidR="01354A98" w:rsidRPr="00493755">
        <w:rPr>
          <w:rFonts w:cs="Times New Roman"/>
          <w:i/>
          <w:iCs/>
          <w:sz w:val="24"/>
          <w:szCs w:val="24"/>
        </w:rPr>
        <w:t>euro</w:t>
      </w:r>
      <w:r w:rsidR="2BD05E0C" w:rsidRPr="00493755">
        <w:rPr>
          <w:rFonts w:cs="Times New Roman"/>
          <w:sz w:val="24"/>
          <w:szCs w:val="24"/>
        </w:rPr>
        <w:t xml:space="preserve">. </w:t>
      </w:r>
      <w:r w:rsidR="6088CA3C" w:rsidRPr="00493755">
        <w:rPr>
          <w:rFonts w:cs="Times New Roman"/>
          <w:sz w:val="24"/>
          <w:szCs w:val="24"/>
        </w:rPr>
        <w:t xml:space="preserve">Ja sākotnēji aprēķinātajām Projekta Latvijas aktivitāšu </w:t>
      </w:r>
      <w:r w:rsidR="6ABB572D" w:rsidRPr="00493755">
        <w:rPr>
          <w:rFonts w:cs="Times New Roman"/>
          <w:sz w:val="24"/>
          <w:szCs w:val="24"/>
        </w:rPr>
        <w:t>izmaks</w:t>
      </w:r>
      <w:r w:rsidR="5AF82401" w:rsidRPr="00493755">
        <w:rPr>
          <w:rFonts w:cs="Times New Roman"/>
          <w:sz w:val="24"/>
          <w:szCs w:val="24"/>
        </w:rPr>
        <w:t xml:space="preserve">u aplēsēm </w:t>
      </w:r>
      <w:r w:rsidR="576B8A67" w:rsidRPr="00493755">
        <w:rPr>
          <w:rFonts w:cs="Times New Roman"/>
          <w:sz w:val="24"/>
          <w:szCs w:val="24"/>
        </w:rPr>
        <w:t xml:space="preserve">1,92 miljardu </w:t>
      </w:r>
      <w:r w:rsidR="576B8A67" w:rsidRPr="00493755">
        <w:rPr>
          <w:rFonts w:cs="Times New Roman"/>
          <w:i/>
          <w:iCs/>
          <w:sz w:val="24"/>
          <w:szCs w:val="24"/>
        </w:rPr>
        <w:t>euro</w:t>
      </w:r>
      <w:r w:rsidR="576B8A67" w:rsidRPr="00493755">
        <w:rPr>
          <w:rFonts w:cs="Times New Roman"/>
          <w:sz w:val="24"/>
          <w:szCs w:val="24"/>
        </w:rPr>
        <w:t xml:space="preserve"> apmērā </w:t>
      </w:r>
      <w:r w:rsidR="6ABB572D" w:rsidRPr="00493755">
        <w:rPr>
          <w:rFonts w:cs="Times New Roman"/>
          <w:sz w:val="24"/>
          <w:szCs w:val="24"/>
        </w:rPr>
        <w:t xml:space="preserve">pieskaita </w:t>
      </w:r>
      <w:r w:rsidR="576B8A67" w:rsidRPr="00493755">
        <w:rPr>
          <w:rFonts w:cs="Times New Roman"/>
          <w:sz w:val="24"/>
          <w:szCs w:val="24"/>
        </w:rPr>
        <w:t xml:space="preserve">gan </w:t>
      </w:r>
      <w:r w:rsidR="6ABB572D" w:rsidRPr="00493755">
        <w:rPr>
          <w:rFonts w:cs="Times New Roman"/>
          <w:sz w:val="24"/>
          <w:szCs w:val="24"/>
        </w:rPr>
        <w:t xml:space="preserve">Projekta apjoma pieauguma izmaksas 501 miljona </w:t>
      </w:r>
      <w:r w:rsidR="6ABB572D" w:rsidRPr="00493755">
        <w:rPr>
          <w:rFonts w:cs="Times New Roman"/>
          <w:i/>
          <w:iCs/>
          <w:sz w:val="24"/>
          <w:szCs w:val="24"/>
        </w:rPr>
        <w:t>euro</w:t>
      </w:r>
      <w:r w:rsidR="6ABB572D" w:rsidRPr="00493755">
        <w:rPr>
          <w:rFonts w:cs="Times New Roman"/>
          <w:sz w:val="24"/>
          <w:szCs w:val="24"/>
        </w:rPr>
        <w:t xml:space="preserve"> apmērā</w:t>
      </w:r>
      <w:r w:rsidR="1A75A7FC" w:rsidRPr="00493755">
        <w:rPr>
          <w:rFonts w:cs="Times New Roman"/>
          <w:sz w:val="24"/>
          <w:szCs w:val="24"/>
        </w:rPr>
        <w:t xml:space="preserve"> </w:t>
      </w:r>
      <w:r w:rsidR="4834087A" w:rsidRPr="00493755">
        <w:rPr>
          <w:rFonts w:cs="Times New Roman"/>
          <w:sz w:val="24"/>
          <w:szCs w:val="24"/>
        </w:rPr>
        <w:t>gan</w:t>
      </w:r>
      <w:r w:rsidR="74197D62" w:rsidRPr="00493755">
        <w:rPr>
          <w:rFonts w:cs="Times New Roman"/>
          <w:sz w:val="24"/>
          <w:szCs w:val="24"/>
        </w:rPr>
        <w:t xml:space="preserve"> </w:t>
      </w:r>
      <w:r w:rsidR="1A75A7FC" w:rsidRPr="00493755">
        <w:rPr>
          <w:rFonts w:cs="Times New Roman"/>
          <w:sz w:val="24"/>
          <w:szCs w:val="24"/>
        </w:rPr>
        <w:t>51 % izmaksu pieaugumu</w:t>
      </w:r>
      <w:r w:rsidR="6ABB572D" w:rsidRPr="00493755">
        <w:rPr>
          <w:rFonts w:cs="Times New Roman"/>
          <w:sz w:val="24"/>
          <w:szCs w:val="24"/>
        </w:rPr>
        <w:t xml:space="preserve">, </w:t>
      </w:r>
      <w:r w:rsidR="4E4155C5" w:rsidRPr="00493755">
        <w:rPr>
          <w:rFonts w:cs="Times New Roman"/>
          <w:sz w:val="24"/>
          <w:szCs w:val="24"/>
        </w:rPr>
        <w:t xml:space="preserve">varam secināt, ka Projekta Latvijas aktivitāšu </w:t>
      </w:r>
      <w:r w:rsidR="793D524B" w:rsidRPr="00493755">
        <w:rPr>
          <w:rFonts w:cs="Times New Roman"/>
          <w:sz w:val="24"/>
          <w:szCs w:val="24"/>
        </w:rPr>
        <w:t>izmaks</w:t>
      </w:r>
      <w:r w:rsidR="74197D62" w:rsidRPr="00493755">
        <w:rPr>
          <w:rFonts w:cs="Times New Roman"/>
          <w:sz w:val="24"/>
          <w:szCs w:val="24"/>
        </w:rPr>
        <w:t>u</w:t>
      </w:r>
      <w:r w:rsidR="793D524B" w:rsidRPr="00493755">
        <w:rPr>
          <w:rFonts w:cs="Times New Roman"/>
          <w:sz w:val="24"/>
          <w:szCs w:val="24"/>
        </w:rPr>
        <w:t xml:space="preserve"> aplēse 2021.</w:t>
      </w:r>
      <w:r w:rsidR="00BA6F31" w:rsidRPr="00493755">
        <w:rPr>
          <w:rFonts w:cs="Times New Roman"/>
          <w:sz w:val="24"/>
          <w:szCs w:val="24"/>
        </w:rPr>
        <w:t> </w:t>
      </w:r>
      <w:r w:rsidR="793D524B" w:rsidRPr="00493755">
        <w:rPr>
          <w:rFonts w:cs="Times New Roman"/>
          <w:sz w:val="24"/>
          <w:szCs w:val="24"/>
        </w:rPr>
        <w:t xml:space="preserve">gada cenās ir </w:t>
      </w:r>
      <w:r w:rsidR="3FFC179D" w:rsidRPr="00493755">
        <w:rPr>
          <w:rFonts w:cs="Times New Roman"/>
          <w:sz w:val="24"/>
          <w:szCs w:val="24"/>
        </w:rPr>
        <w:t xml:space="preserve">3,4 </w:t>
      </w:r>
      <w:r w:rsidR="00BA6F31" w:rsidRPr="00493755">
        <w:rPr>
          <w:rFonts w:cs="Times New Roman"/>
          <w:sz w:val="24"/>
          <w:szCs w:val="24"/>
        </w:rPr>
        <w:t>miljardi</w:t>
      </w:r>
      <w:r w:rsidR="390F635C" w:rsidRPr="00493755">
        <w:rPr>
          <w:rFonts w:cs="Times New Roman"/>
          <w:sz w:val="24"/>
          <w:szCs w:val="24"/>
        </w:rPr>
        <w:t xml:space="preserve"> </w:t>
      </w:r>
      <w:r w:rsidR="390F635C" w:rsidRPr="00493755">
        <w:rPr>
          <w:rFonts w:cs="Times New Roman"/>
          <w:i/>
          <w:iCs/>
          <w:sz w:val="24"/>
          <w:szCs w:val="24"/>
        </w:rPr>
        <w:t>euro</w:t>
      </w:r>
      <w:r w:rsidR="3B678393" w:rsidRPr="00493755">
        <w:rPr>
          <w:rFonts w:cs="Times New Roman"/>
          <w:sz w:val="24"/>
          <w:szCs w:val="24"/>
        </w:rPr>
        <w:t>. R</w:t>
      </w:r>
      <w:r w:rsidR="3F97E42A" w:rsidRPr="00493755">
        <w:rPr>
          <w:rFonts w:cs="Times New Roman"/>
          <w:sz w:val="24"/>
          <w:szCs w:val="24"/>
        </w:rPr>
        <w:t xml:space="preserve">ezultātā </w:t>
      </w:r>
      <w:r w:rsidR="3B678393" w:rsidRPr="00493755">
        <w:rPr>
          <w:rFonts w:cs="Times New Roman"/>
          <w:sz w:val="24"/>
          <w:szCs w:val="24"/>
        </w:rPr>
        <w:t xml:space="preserve">Projekta Latvijas aktivitāšu </w:t>
      </w:r>
      <w:r w:rsidR="3F97E42A" w:rsidRPr="00493755">
        <w:rPr>
          <w:rFonts w:cs="Times New Roman"/>
          <w:sz w:val="24"/>
          <w:szCs w:val="24"/>
        </w:rPr>
        <w:t xml:space="preserve">aptuvenais finanšu resursu deficīts </w:t>
      </w:r>
      <w:r w:rsidR="3D067E2F" w:rsidRPr="00493755">
        <w:rPr>
          <w:rFonts w:cs="Times New Roman"/>
          <w:sz w:val="24"/>
          <w:szCs w:val="24"/>
        </w:rPr>
        <w:t>2021.-2027.</w:t>
      </w:r>
      <w:r w:rsidR="00BA6F31" w:rsidRPr="00493755">
        <w:rPr>
          <w:rFonts w:cs="Times New Roman"/>
          <w:sz w:val="24"/>
          <w:szCs w:val="24"/>
        </w:rPr>
        <w:t> </w:t>
      </w:r>
      <w:r w:rsidR="3D067E2F" w:rsidRPr="00493755">
        <w:rPr>
          <w:rFonts w:cs="Times New Roman"/>
          <w:sz w:val="24"/>
          <w:szCs w:val="24"/>
        </w:rPr>
        <w:t xml:space="preserve">daudzgadu budžeta ietvarā </w:t>
      </w:r>
      <w:r w:rsidR="4BC46809" w:rsidRPr="00493755">
        <w:rPr>
          <w:rFonts w:cs="Times New Roman"/>
          <w:sz w:val="24"/>
          <w:szCs w:val="24"/>
        </w:rPr>
        <w:t>2021.</w:t>
      </w:r>
      <w:r w:rsidR="00BA6F31" w:rsidRPr="00493755">
        <w:rPr>
          <w:rFonts w:cs="Times New Roman"/>
          <w:sz w:val="24"/>
          <w:szCs w:val="24"/>
        </w:rPr>
        <w:t> </w:t>
      </w:r>
      <w:r w:rsidR="4BC46809" w:rsidRPr="00493755">
        <w:rPr>
          <w:rFonts w:cs="Times New Roman"/>
          <w:sz w:val="24"/>
          <w:szCs w:val="24"/>
        </w:rPr>
        <w:t>gada cenās varētu būt sasniedzi</w:t>
      </w:r>
      <w:r w:rsidR="2071E8E4" w:rsidRPr="00493755">
        <w:rPr>
          <w:rFonts w:cs="Times New Roman"/>
          <w:sz w:val="24"/>
          <w:szCs w:val="24"/>
        </w:rPr>
        <w:t xml:space="preserve">s </w:t>
      </w:r>
      <w:r w:rsidR="5F683AAA" w:rsidRPr="00493755">
        <w:rPr>
          <w:rFonts w:cs="Times New Roman"/>
          <w:sz w:val="24"/>
          <w:szCs w:val="24"/>
        </w:rPr>
        <w:t xml:space="preserve">1,6 </w:t>
      </w:r>
      <w:r w:rsidR="1EB0541B" w:rsidRPr="00493755">
        <w:rPr>
          <w:rFonts w:cs="Times New Roman"/>
          <w:sz w:val="24"/>
          <w:szCs w:val="24"/>
        </w:rPr>
        <w:t>–</w:t>
      </w:r>
      <w:r w:rsidR="6F4DA988" w:rsidRPr="00493755">
        <w:rPr>
          <w:rFonts w:cs="Times New Roman"/>
          <w:sz w:val="24"/>
          <w:szCs w:val="24"/>
        </w:rPr>
        <w:t xml:space="preserve"> </w:t>
      </w:r>
      <w:r w:rsidR="1EB0541B" w:rsidRPr="00493755">
        <w:rPr>
          <w:rFonts w:cs="Times New Roman"/>
          <w:sz w:val="24"/>
          <w:szCs w:val="24"/>
        </w:rPr>
        <w:t xml:space="preserve">1,7 </w:t>
      </w:r>
      <w:r w:rsidR="6EBA40D5" w:rsidRPr="00493755">
        <w:rPr>
          <w:rFonts w:cs="Times New Roman"/>
          <w:sz w:val="24"/>
          <w:szCs w:val="24"/>
        </w:rPr>
        <w:t xml:space="preserve">miljardus </w:t>
      </w:r>
      <w:r w:rsidR="6EBA40D5" w:rsidRPr="00493755">
        <w:rPr>
          <w:rFonts w:cs="Times New Roman"/>
          <w:i/>
          <w:iCs/>
          <w:sz w:val="24"/>
          <w:szCs w:val="24"/>
        </w:rPr>
        <w:t>euro</w:t>
      </w:r>
      <w:r w:rsidR="6EBA40D5" w:rsidRPr="00493755">
        <w:rPr>
          <w:rFonts w:cs="Times New Roman"/>
          <w:sz w:val="24"/>
          <w:szCs w:val="24"/>
        </w:rPr>
        <w:t xml:space="preserve">. </w:t>
      </w:r>
      <w:r w:rsidR="30131C96" w:rsidRPr="00493755">
        <w:rPr>
          <w:rFonts w:cs="Times New Roman"/>
          <w:sz w:val="24"/>
          <w:szCs w:val="24"/>
        </w:rPr>
        <w:t xml:space="preserve">Tāpēc būtu būtiski </w:t>
      </w:r>
      <w:r w:rsidR="1739BC45" w:rsidRPr="00493755">
        <w:rPr>
          <w:rFonts w:cs="Times New Roman"/>
          <w:sz w:val="24"/>
          <w:szCs w:val="24"/>
        </w:rPr>
        <w:t>2021.-2027.</w:t>
      </w:r>
      <w:r w:rsidR="00BA6F31" w:rsidRPr="00493755">
        <w:rPr>
          <w:rFonts w:cs="Times New Roman"/>
          <w:sz w:val="24"/>
          <w:szCs w:val="24"/>
        </w:rPr>
        <w:t> </w:t>
      </w:r>
      <w:r w:rsidR="1739BC45" w:rsidRPr="00493755">
        <w:rPr>
          <w:rFonts w:cs="Times New Roman"/>
          <w:sz w:val="24"/>
          <w:szCs w:val="24"/>
        </w:rPr>
        <w:t>gada daudzgadu</w:t>
      </w:r>
      <w:r w:rsidR="157018CC" w:rsidRPr="00493755">
        <w:rPr>
          <w:rFonts w:cs="Times New Roman"/>
          <w:sz w:val="24"/>
          <w:szCs w:val="24"/>
        </w:rPr>
        <w:t xml:space="preserve"> budžeta ietvarā neuzsākt jaunus </w:t>
      </w:r>
      <w:r w:rsidR="00C1082B" w:rsidRPr="00493755">
        <w:rPr>
          <w:rFonts w:cs="Times New Roman"/>
          <w:sz w:val="24"/>
          <w:szCs w:val="24"/>
        </w:rPr>
        <w:t xml:space="preserve">Kohēzijas aploksnes </w:t>
      </w:r>
      <w:r w:rsidR="157018CC" w:rsidRPr="00493755">
        <w:rPr>
          <w:rFonts w:cs="Times New Roman"/>
          <w:sz w:val="24"/>
          <w:szCs w:val="24"/>
        </w:rPr>
        <w:t xml:space="preserve">EISI ietvarā </w:t>
      </w:r>
      <w:r w:rsidR="5D5ACC87" w:rsidRPr="00493755">
        <w:rPr>
          <w:rFonts w:cs="Times New Roman"/>
          <w:sz w:val="24"/>
          <w:szCs w:val="24"/>
        </w:rPr>
        <w:t xml:space="preserve">finansējamus </w:t>
      </w:r>
      <w:r w:rsidR="008B73BE" w:rsidRPr="00493755">
        <w:rPr>
          <w:rFonts w:cs="Times New Roman"/>
          <w:sz w:val="24"/>
          <w:szCs w:val="24"/>
        </w:rPr>
        <w:t xml:space="preserve">transporta </w:t>
      </w:r>
      <w:r w:rsidR="5D5ACC87" w:rsidRPr="00493755">
        <w:rPr>
          <w:rFonts w:cs="Times New Roman"/>
          <w:sz w:val="24"/>
          <w:szCs w:val="24"/>
        </w:rPr>
        <w:t>projektus</w:t>
      </w:r>
      <w:r w:rsidR="00831DDD" w:rsidRPr="00493755">
        <w:rPr>
          <w:rFonts w:cs="Times New Roman"/>
          <w:sz w:val="24"/>
          <w:szCs w:val="24"/>
        </w:rPr>
        <w:t xml:space="preserve">, kas nav saistīti ar </w:t>
      </w:r>
      <w:r w:rsidR="00BC4E7E" w:rsidRPr="00493755">
        <w:rPr>
          <w:rFonts w:cs="Times New Roman"/>
          <w:sz w:val="24"/>
          <w:szCs w:val="24"/>
        </w:rPr>
        <w:t>Projektu,</w:t>
      </w:r>
      <w:r w:rsidR="5D5ACC87" w:rsidRPr="00493755">
        <w:rPr>
          <w:rFonts w:cs="Times New Roman"/>
          <w:sz w:val="24"/>
          <w:szCs w:val="24"/>
        </w:rPr>
        <w:t xml:space="preserve"> koncentrējoties uz jau iesāktajiem projektiem</w:t>
      </w:r>
      <w:r w:rsidR="005C3D86" w:rsidRPr="00493755">
        <w:rPr>
          <w:rFonts w:cs="Times New Roman"/>
          <w:sz w:val="24"/>
          <w:szCs w:val="24"/>
        </w:rPr>
        <w:t xml:space="preserve"> un to aktivitātēm</w:t>
      </w:r>
      <w:r w:rsidR="5D5ACC87" w:rsidRPr="00493755">
        <w:rPr>
          <w:rFonts w:cs="Times New Roman"/>
          <w:sz w:val="24"/>
          <w:szCs w:val="24"/>
        </w:rPr>
        <w:t>.</w:t>
      </w:r>
      <w:r w:rsidR="1739BC45" w:rsidRPr="00493755">
        <w:rPr>
          <w:rFonts w:cs="Times New Roman"/>
          <w:sz w:val="24"/>
          <w:szCs w:val="24"/>
        </w:rPr>
        <w:t xml:space="preserve"> </w:t>
      </w:r>
    </w:p>
    <w:p w14:paraId="4178E895" w14:textId="627C7B88" w:rsidR="00D77863" w:rsidRPr="00493755" w:rsidRDefault="008C5DDA" w:rsidP="00FE3B35">
      <w:pPr>
        <w:spacing w:after="0" w:line="240" w:lineRule="auto"/>
        <w:jc w:val="both"/>
        <w:rPr>
          <w:rFonts w:cs="Times New Roman"/>
          <w:sz w:val="24"/>
          <w:szCs w:val="24"/>
        </w:rPr>
      </w:pPr>
      <w:r w:rsidRPr="00493755">
        <w:rPr>
          <w:rFonts w:cs="Times New Roman"/>
          <w:sz w:val="24"/>
          <w:szCs w:val="24"/>
        </w:rPr>
        <w:t xml:space="preserve">            </w:t>
      </w:r>
      <w:r w:rsidR="00795769" w:rsidRPr="00493755">
        <w:rPr>
          <w:rFonts w:cs="Times New Roman"/>
          <w:sz w:val="24"/>
          <w:szCs w:val="24"/>
        </w:rPr>
        <w:t>Tomēr jāatzīmē, ka šī ir aplēse</w:t>
      </w:r>
      <w:r w:rsidR="00C21742" w:rsidRPr="00493755">
        <w:rPr>
          <w:rFonts w:cs="Times New Roman"/>
          <w:sz w:val="24"/>
          <w:szCs w:val="24"/>
        </w:rPr>
        <w:t xml:space="preserve">. Projekta </w:t>
      </w:r>
      <w:r w:rsidR="00F95EE0" w:rsidRPr="00493755">
        <w:rPr>
          <w:rFonts w:cs="Times New Roman"/>
          <w:sz w:val="24"/>
          <w:szCs w:val="24"/>
        </w:rPr>
        <w:t>izmaks</w:t>
      </w:r>
      <w:r w:rsidR="00260304" w:rsidRPr="00493755">
        <w:rPr>
          <w:rFonts w:cs="Times New Roman"/>
          <w:sz w:val="24"/>
          <w:szCs w:val="24"/>
        </w:rPr>
        <w:t>as</w:t>
      </w:r>
      <w:r w:rsidR="00F95EE0" w:rsidRPr="00493755">
        <w:rPr>
          <w:rFonts w:cs="Times New Roman"/>
          <w:sz w:val="24"/>
          <w:szCs w:val="24"/>
        </w:rPr>
        <w:t>, tostarp Latvijas aktivitāšu izmaksas</w:t>
      </w:r>
      <w:r w:rsidR="00260304" w:rsidRPr="00493755">
        <w:rPr>
          <w:rFonts w:cs="Times New Roman"/>
          <w:sz w:val="24"/>
          <w:szCs w:val="24"/>
        </w:rPr>
        <w:t>,</w:t>
      </w:r>
      <w:r w:rsidR="00F95EE0" w:rsidRPr="00493755">
        <w:rPr>
          <w:rFonts w:cs="Times New Roman"/>
          <w:sz w:val="24"/>
          <w:szCs w:val="24"/>
        </w:rPr>
        <w:t xml:space="preserve"> tiks precizētas 2023.</w:t>
      </w:r>
      <w:r w:rsidR="00BA6F31" w:rsidRPr="00493755">
        <w:rPr>
          <w:rFonts w:cs="Times New Roman"/>
          <w:sz w:val="24"/>
          <w:szCs w:val="24"/>
        </w:rPr>
        <w:t> </w:t>
      </w:r>
      <w:r w:rsidR="00F95EE0" w:rsidRPr="00493755">
        <w:rPr>
          <w:rFonts w:cs="Times New Roman"/>
          <w:sz w:val="24"/>
          <w:szCs w:val="24"/>
        </w:rPr>
        <w:t>gadā</w:t>
      </w:r>
      <w:r w:rsidR="00BA6F31" w:rsidRPr="00493755">
        <w:rPr>
          <w:rFonts w:cs="Times New Roman"/>
          <w:sz w:val="24"/>
          <w:szCs w:val="24"/>
        </w:rPr>
        <w:t>,</w:t>
      </w:r>
      <w:r w:rsidR="00F95EE0" w:rsidRPr="00493755">
        <w:rPr>
          <w:rFonts w:cs="Times New Roman"/>
          <w:sz w:val="24"/>
          <w:szCs w:val="24"/>
        </w:rPr>
        <w:t xml:space="preserve"> noslēdzo</w:t>
      </w:r>
      <w:r w:rsidR="00F56F74" w:rsidRPr="00493755">
        <w:rPr>
          <w:rFonts w:cs="Times New Roman"/>
          <w:sz w:val="24"/>
          <w:szCs w:val="24"/>
        </w:rPr>
        <w:t>ties projektēšanas posmam un sagatavojot jauno Izdevumu – ieguvumu analīzi</w:t>
      </w:r>
      <w:r w:rsidR="00795769" w:rsidRPr="00493755">
        <w:rPr>
          <w:rFonts w:cs="Times New Roman"/>
          <w:sz w:val="24"/>
          <w:szCs w:val="24"/>
        </w:rPr>
        <w:t xml:space="preserve">, </w:t>
      </w:r>
      <w:r w:rsidR="006B218A" w:rsidRPr="00493755">
        <w:rPr>
          <w:rFonts w:cs="Times New Roman"/>
          <w:sz w:val="24"/>
          <w:szCs w:val="24"/>
        </w:rPr>
        <w:t xml:space="preserve">kura </w:t>
      </w:r>
      <w:r w:rsidR="007E2D0E" w:rsidRPr="00493755">
        <w:rPr>
          <w:rFonts w:cs="Times New Roman"/>
          <w:sz w:val="24"/>
          <w:szCs w:val="24"/>
        </w:rPr>
        <w:t>tiks pabeigta 202</w:t>
      </w:r>
      <w:r w:rsidR="0038517F" w:rsidRPr="00493755">
        <w:rPr>
          <w:rFonts w:cs="Times New Roman"/>
          <w:sz w:val="24"/>
          <w:szCs w:val="24"/>
        </w:rPr>
        <w:t>4</w:t>
      </w:r>
      <w:r w:rsidR="007E2D0E" w:rsidRPr="00493755">
        <w:rPr>
          <w:rFonts w:cs="Times New Roman"/>
          <w:sz w:val="24"/>
          <w:szCs w:val="24"/>
        </w:rPr>
        <w:t>.</w:t>
      </w:r>
      <w:r w:rsidR="00BA6F31" w:rsidRPr="00493755">
        <w:rPr>
          <w:rFonts w:cs="Times New Roman"/>
          <w:sz w:val="24"/>
          <w:szCs w:val="24"/>
        </w:rPr>
        <w:t> </w:t>
      </w:r>
      <w:r w:rsidR="007E2D0E" w:rsidRPr="00493755">
        <w:rPr>
          <w:rFonts w:cs="Times New Roman"/>
          <w:sz w:val="24"/>
          <w:szCs w:val="24"/>
        </w:rPr>
        <w:t xml:space="preserve">gada nogalē. Turklāt pieaugot </w:t>
      </w:r>
      <w:r w:rsidR="00FA1CDB" w:rsidRPr="00493755">
        <w:rPr>
          <w:rFonts w:cs="Times New Roman"/>
          <w:sz w:val="24"/>
          <w:szCs w:val="24"/>
        </w:rPr>
        <w:t>Projekta izmaksām, pieaug arī Projekta ieguvumi</w:t>
      </w:r>
      <w:r w:rsidR="007521B4" w:rsidRPr="00493755">
        <w:rPr>
          <w:rFonts w:cs="Times New Roman"/>
          <w:sz w:val="24"/>
          <w:szCs w:val="24"/>
        </w:rPr>
        <w:t>, kuru aprēķini arī tiks pabeigti 202</w:t>
      </w:r>
      <w:r w:rsidR="0038517F" w:rsidRPr="00493755">
        <w:rPr>
          <w:rFonts w:cs="Times New Roman"/>
          <w:sz w:val="24"/>
          <w:szCs w:val="24"/>
        </w:rPr>
        <w:t>4</w:t>
      </w:r>
      <w:r w:rsidR="007521B4" w:rsidRPr="00493755">
        <w:rPr>
          <w:rFonts w:cs="Times New Roman"/>
          <w:sz w:val="24"/>
          <w:szCs w:val="24"/>
        </w:rPr>
        <w:t>.</w:t>
      </w:r>
      <w:r w:rsidR="00BA6F31" w:rsidRPr="00493755">
        <w:rPr>
          <w:rFonts w:cs="Times New Roman"/>
          <w:sz w:val="24"/>
          <w:szCs w:val="24"/>
        </w:rPr>
        <w:t> </w:t>
      </w:r>
      <w:r w:rsidR="007521B4" w:rsidRPr="00493755">
        <w:rPr>
          <w:rFonts w:cs="Times New Roman"/>
          <w:sz w:val="24"/>
          <w:szCs w:val="24"/>
        </w:rPr>
        <w:t>gada nogalē</w:t>
      </w:r>
      <w:r w:rsidR="00FA1CDB" w:rsidRPr="00493755">
        <w:rPr>
          <w:rFonts w:cs="Times New Roman"/>
          <w:sz w:val="24"/>
          <w:szCs w:val="24"/>
        </w:rPr>
        <w:t xml:space="preserve">. </w:t>
      </w:r>
      <w:r w:rsidR="0078038D" w:rsidRPr="00493755">
        <w:rPr>
          <w:rFonts w:cs="Times New Roman"/>
          <w:sz w:val="24"/>
          <w:szCs w:val="24"/>
        </w:rPr>
        <w:t xml:space="preserve"> </w:t>
      </w:r>
    </w:p>
    <w:p w14:paraId="646DA4F2" w14:textId="77777777" w:rsidR="00BA6F31" w:rsidRPr="00493755" w:rsidRDefault="00BA6F31" w:rsidP="00E84052">
      <w:pPr>
        <w:spacing w:before="120" w:after="120" w:line="240" w:lineRule="auto"/>
        <w:ind w:firstLine="720"/>
        <w:jc w:val="center"/>
        <w:rPr>
          <w:rFonts w:cs="Times New Roman"/>
          <w:b/>
          <w:sz w:val="24"/>
          <w:szCs w:val="24"/>
        </w:rPr>
      </w:pPr>
    </w:p>
    <w:p w14:paraId="633F0988" w14:textId="5C9BEA05" w:rsidR="00BB63C0" w:rsidRPr="00493755" w:rsidRDefault="00DF3119" w:rsidP="00E84052">
      <w:pPr>
        <w:spacing w:before="120" w:after="120" w:line="240" w:lineRule="auto"/>
        <w:ind w:firstLine="720"/>
        <w:jc w:val="center"/>
        <w:rPr>
          <w:rFonts w:cs="Times New Roman"/>
          <w:sz w:val="22"/>
        </w:rPr>
      </w:pPr>
      <w:r w:rsidRPr="00493755">
        <w:rPr>
          <w:rFonts w:cs="Times New Roman"/>
          <w:b/>
          <w:sz w:val="24"/>
          <w:szCs w:val="24"/>
        </w:rPr>
        <w:t xml:space="preserve">Zemju atsavināšana </w:t>
      </w:r>
      <w:r w:rsidR="00502461" w:rsidRPr="00493755">
        <w:rPr>
          <w:rFonts w:cs="Times New Roman"/>
          <w:b/>
          <w:sz w:val="24"/>
          <w:szCs w:val="24"/>
        </w:rPr>
        <w:t xml:space="preserve"> </w:t>
      </w:r>
    </w:p>
    <w:p w14:paraId="41889D53" w14:textId="78FA5A31" w:rsidR="00E70C5D" w:rsidRPr="00493755" w:rsidRDefault="008030CE" w:rsidP="00855CF3">
      <w:pPr>
        <w:spacing w:after="0" w:line="240" w:lineRule="auto"/>
        <w:ind w:firstLine="720"/>
        <w:jc w:val="both"/>
        <w:rPr>
          <w:rFonts w:cs="Times New Roman"/>
          <w:sz w:val="24"/>
          <w:szCs w:val="24"/>
        </w:rPr>
      </w:pPr>
      <w:r w:rsidRPr="00493755">
        <w:rPr>
          <w:rFonts w:cs="Times New Roman"/>
          <w:sz w:val="24"/>
          <w:szCs w:val="24"/>
        </w:rPr>
        <w:t xml:space="preserve">Rail Baltica Latvijas līnijas ietvarā </w:t>
      </w:r>
      <w:r w:rsidR="00051BEE" w:rsidRPr="00493755">
        <w:rPr>
          <w:rFonts w:cs="Times New Roman"/>
          <w:sz w:val="24"/>
          <w:szCs w:val="24"/>
        </w:rPr>
        <w:t xml:space="preserve">nepieciešams atsavināt </w:t>
      </w:r>
      <w:r w:rsidR="00616D75" w:rsidRPr="00493755">
        <w:rPr>
          <w:rFonts w:cs="Times New Roman"/>
          <w:sz w:val="24"/>
          <w:szCs w:val="24"/>
        </w:rPr>
        <w:t>aptuveni 1</w:t>
      </w:r>
      <w:r w:rsidR="00051BEE" w:rsidRPr="00493755">
        <w:rPr>
          <w:rFonts w:cs="Times New Roman"/>
          <w:sz w:val="24"/>
          <w:szCs w:val="24"/>
        </w:rPr>
        <w:t>6</w:t>
      </w:r>
      <w:r w:rsidR="00803942" w:rsidRPr="00493755">
        <w:rPr>
          <w:rFonts w:cs="Times New Roman"/>
          <w:sz w:val="24"/>
          <w:szCs w:val="24"/>
        </w:rPr>
        <w:t>2</w:t>
      </w:r>
      <w:r w:rsidR="00A5080A" w:rsidRPr="00493755">
        <w:rPr>
          <w:rFonts w:cs="Times New Roman"/>
          <w:sz w:val="24"/>
          <w:szCs w:val="24"/>
        </w:rPr>
        <w:t>3</w:t>
      </w:r>
      <w:r w:rsidR="00051BEE" w:rsidRPr="00493755">
        <w:rPr>
          <w:rFonts w:cs="Times New Roman"/>
          <w:sz w:val="24"/>
          <w:szCs w:val="24"/>
        </w:rPr>
        <w:t xml:space="preserve"> </w:t>
      </w:r>
      <w:r w:rsidR="00AE0581" w:rsidRPr="00493755">
        <w:rPr>
          <w:rFonts w:cs="Times New Roman"/>
          <w:sz w:val="24"/>
          <w:szCs w:val="24"/>
        </w:rPr>
        <w:t xml:space="preserve">nekustamos īpašumus. </w:t>
      </w:r>
      <w:r w:rsidR="00A94D9E" w:rsidRPr="00493755">
        <w:rPr>
          <w:rFonts w:cs="Times New Roman"/>
          <w:sz w:val="24"/>
          <w:szCs w:val="24"/>
        </w:rPr>
        <w:t xml:space="preserve">CEF1 finansēšanas līguma ietvaros </w:t>
      </w:r>
      <w:r w:rsidR="00761EF6" w:rsidRPr="00493755">
        <w:rPr>
          <w:rFonts w:cs="Times New Roman"/>
          <w:sz w:val="24"/>
          <w:szCs w:val="24"/>
        </w:rPr>
        <w:t xml:space="preserve">Latvijai piešķirts </w:t>
      </w:r>
      <w:r w:rsidR="008C4B9D" w:rsidRPr="00493755">
        <w:rPr>
          <w:rFonts w:cs="Times New Roman"/>
          <w:sz w:val="24"/>
          <w:szCs w:val="24"/>
        </w:rPr>
        <w:t xml:space="preserve">30,8 miljonu </w:t>
      </w:r>
      <w:r w:rsidR="00B321BA" w:rsidRPr="00493755">
        <w:rPr>
          <w:rFonts w:cs="Times New Roman"/>
          <w:i/>
          <w:iCs/>
          <w:sz w:val="24"/>
          <w:szCs w:val="24"/>
        </w:rPr>
        <w:t>euro</w:t>
      </w:r>
      <w:r w:rsidR="00B321BA" w:rsidRPr="00493755">
        <w:rPr>
          <w:rFonts w:cs="Times New Roman"/>
          <w:sz w:val="24"/>
          <w:szCs w:val="24"/>
        </w:rPr>
        <w:t xml:space="preserve"> finansējums </w:t>
      </w:r>
      <w:r w:rsidR="00A94D9E" w:rsidRPr="00493755">
        <w:rPr>
          <w:rFonts w:cs="Times New Roman"/>
          <w:sz w:val="24"/>
          <w:szCs w:val="24"/>
        </w:rPr>
        <w:t>309 nekustamo īpašumu</w:t>
      </w:r>
      <w:r w:rsidR="0024298B" w:rsidRPr="00493755">
        <w:rPr>
          <w:rFonts w:cs="Times New Roman"/>
          <w:sz w:val="24"/>
          <w:szCs w:val="24"/>
        </w:rPr>
        <w:t xml:space="preserve"> atsavināšanai</w:t>
      </w:r>
      <w:r w:rsidR="00151CBD" w:rsidRPr="00493755">
        <w:rPr>
          <w:rFonts w:cs="Times New Roman"/>
          <w:sz w:val="24"/>
          <w:szCs w:val="24"/>
        </w:rPr>
        <w:t xml:space="preserve"> Rīgas </w:t>
      </w:r>
      <w:r w:rsidR="00202DC2" w:rsidRPr="00493755">
        <w:rPr>
          <w:rFonts w:cs="Times New Roman"/>
          <w:sz w:val="24"/>
          <w:szCs w:val="24"/>
        </w:rPr>
        <w:t xml:space="preserve">un Pierīgas </w:t>
      </w:r>
      <w:r w:rsidR="0082489E" w:rsidRPr="00493755">
        <w:rPr>
          <w:rFonts w:cs="Times New Roman"/>
          <w:sz w:val="24"/>
          <w:szCs w:val="24"/>
        </w:rPr>
        <w:t>r</w:t>
      </w:r>
      <w:r w:rsidR="00F211E2" w:rsidRPr="00493755">
        <w:rPr>
          <w:rFonts w:cs="Times New Roman"/>
          <w:sz w:val="24"/>
          <w:szCs w:val="24"/>
        </w:rPr>
        <w:t>ajonā</w:t>
      </w:r>
      <w:r w:rsidR="00A94D9E" w:rsidRPr="00493755">
        <w:rPr>
          <w:rFonts w:cs="Times New Roman"/>
          <w:sz w:val="24"/>
          <w:szCs w:val="24"/>
        </w:rPr>
        <w:t xml:space="preserve">, CEF6 </w:t>
      </w:r>
      <w:r w:rsidR="00FA2D73" w:rsidRPr="00493755">
        <w:rPr>
          <w:rFonts w:cs="Times New Roman"/>
          <w:sz w:val="24"/>
          <w:szCs w:val="24"/>
        </w:rPr>
        <w:t xml:space="preserve">finansēšanas </w:t>
      </w:r>
      <w:r w:rsidR="00A94D9E" w:rsidRPr="00493755">
        <w:rPr>
          <w:rFonts w:cs="Times New Roman"/>
          <w:sz w:val="24"/>
          <w:szCs w:val="24"/>
        </w:rPr>
        <w:t>līgum</w:t>
      </w:r>
      <w:r w:rsidR="008B23B5" w:rsidRPr="00493755">
        <w:rPr>
          <w:rFonts w:cs="Times New Roman"/>
          <w:sz w:val="24"/>
          <w:szCs w:val="24"/>
        </w:rPr>
        <w:t>u</w:t>
      </w:r>
      <w:r w:rsidR="00A94D9E" w:rsidRPr="00493755">
        <w:rPr>
          <w:rFonts w:cs="Times New Roman"/>
          <w:sz w:val="24"/>
          <w:szCs w:val="24"/>
        </w:rPr>
        <w:t xml:space="preserve"> ietvaros </w:t>
      </w:r>
      <w:r w:rsidR="00215B46" w:rsidRPr="00493755">
        <w:rPr>
          <w:rFonts w:cs="Times New Roman"/>
          <w:sz w:val="24"/>
          <w:szCs w:val="24"/>
        </w:rPr>
        <w:t xml:space="preserve">Latvijai piešķirts </w:t>
      </w:r>
      <w:r w:rsidR="006434D5" w:rsidRPr="00493755">
        <w:rPr>
          <w:rFonts w:cs="Times New Roman"/>
          <w:sz w:val="24"/>
          <w:szCs w:val="24"/>
        </w:rPr>
        <w:t xml:space="preserve">9,4 miljonu </w:t>
      </w:r>
      <w:r w:rsidR="00C163D5" w:rsidRPr="00493755">
        <w:rPr>
          <w:rFonts w:cs="Times New Roman"/>
          <w:i/>
          <w:iCs/>
          <w:sz w:val="24"/>
          <w:szCs w:val="24"/>
        </w:rPr>
        <w:t>euro</w:t>
      </w:r>
      <w:r w:rsidR="00C163D5" w:rsidRPr="00493755">
        <w:rPr>
          <w:rFonts w:cs="Times New Roman"/>
          <w:sz w:val="24"/>
          <w:szCs w:val="24"/>
        </w:rPr>
        <w:t xml:space="preserve"> finansējums </w:t>
      </w:r>
      <w:r w:rsidR="00A94D9E" w:rsidRPr="00493755">
        <w:rPr>
          <w:rFonts w:cs="Times New Roman"/>
          <w:sz w:val="24"/>
          <w:szCs w:val="24"/>
        </w:rPr>
        <w:t>280 nekustamo īpašumu</w:t>
      </w:r>
      <w:r w:rsidR="0082489E" w:rsidRPr="00493755">
        <w:rPr>
          <w:rFonts w:cs="Times New Roman"/>
          <w:sz w:val="24"/>
          <w:szCs w:val="24"/>
        </w:rPr>
        <w:t xml:space="preserve"> atsavināšanai Latvijas </w:t>
      </w:r>
      <w:r w:rsidR="00987F82" w:rsidRPr="00493755">
        <w:rPr>
          <w:rFonts w:cs="Times New Roman"/>
          <w:sz w:val="24"/>
          <w:szCs w:val="24"/>
        </w:rPr>
        <w:t xml:space="preserve">lauku teritorijās. </w:t>
      </w:r>
      <w:r w:rsidR="00A5080A" w:rsidRPr="00493755">
        <w:rPr>
          <w:rFonts w:cs="Times New Roman"/>
          <w:sz w:val="24"/>
          <w:szCs w:val="24"/>
        </w:rPr>
        <w:t>2021.</w:t>
      </w:r>
      <w:r w:rsidR="006A710E" w:rsidRPr="00493755">
        <w:rPr>
          <w:rFonts w:cs="Times New Roman"/>
          <w:sz w:val="24"/>
          <w:szCs w:val="24"/>
        </w:rPr>
        <w:t> </w:t>
      </w:r>
      <w:r w:rsidR="00A5080A" w:rsidRPr="00493755">
        <w:rPr>
          <w:rFonts w:cs="Times New Roman"/>
          <w:sz w:val="24"/>
          <w:szCs w:val="24"/>
        </w:rPr>
        <w:t>gada</w:t>
      </w:r>
      <w:r w:rsidR="00861AC4" w:rsidRPr="00493755">
        <w:rPr>
          <w:rFonts w:cs="Times New Roman"/>
          <w:sz w:val="24"/>
          <w:szCs w:val="24"/>
        </w:rPr>
        <w:t xml:space="preserve"> EISI uzsaukuma ietvarā </w:t>
      </w:r>
      <w:r w:rsidR="002211D5" w:rsidRPr="00493755">
        <w:rPr>
          <w:rFonts w:cs="Times New Roman"/>
          <w:sz w:val="24"/>
          <w:szCs w:val="24"/>
        </w:rPr>
        <w:t xml:space="preserve">nekustamo īpašumu atsavināšanai </w:t>
      </w:r>
      <w:r w:rsidR="00861AC4" w:rsidRPr="00493755">
        <w:rPr>
          <w:rFonts w:cs="Times New Roman"/>
          <w:sz w:val="24"/>
          <w:szCs w:val="24"/>
        </w:rPr>
        <w:t xml:space="preserve">Latvija ir lūgusi piešķirt </w:t>
      </w:r>
      <w:r w:rsidR="000311AB" w:rsidRPr="00493755">
        <w:rPr>
          <w:rFonts w:cs="Times New Roman"/>
          <w:sz w:val="24"/>
          <w:szCs w:val="24"/>
        </w:rPr>
        <w:t>28,7 miljon</w:t>
      </w:r>
      <w:r w:rsidR="00EA424E" w:rsidRPr="00493755">
        <w:rPr>
          <w:rFonts w:cs="Times New Roman"/>
          <w:sz w:val="24"/>
          <w:szCs w:val="24"/>
        </w:rPr>
        <w:t>u</w:t>
      </w:r>
      <w:r w:rsidR="000311AB" w:rsidRPr="00493755">
        <w:rPr>
          <w:rFonts w:cs="Times New Roman"/>
          <w:sz w:val="24"/>
          <w:szCs w:val="24"/>
        </w:rPr>
        <w:t xml:space="preserve"> </w:t>
      </w:r>
      <w:r w:rsidR="000311AB" w:rsidRPr="00493755">
        <w:rPr>
          <w:rFonts w:cs="Times New Roman"/>
          <w:i/>
          <w:iCs/>
          <w:sz w:val="24"/>
          <w:szCs w:val="24"/>
        </w:rPr>
        <w:t>euro</w:t>
      </w:r>
      <w:r w:rsidR="000311AB" w:rsidRPr="00493755">
        <w:rPr>
          <w:rFonts w:cs="Times New Roman"/>
          <w:sz w:val="24"/>
          <w:szCs w:val="24"/>
        </w:rPr>
        <w:t xml:space="preserve"> finansējumu.</w:t>
      </w:r>
      <w:r w:rsidR="00F211E2" w:rsidRPr="00493755">
        <w:rPr>
          <w:rFonts w:cs="Times New Roman"/>
          <w:sz w:val="24"/>
          <w:szCs w:val="24"/>
        </w:rPr>
        <w:t xml:space="preserve"> Aplēses rāda, ka </w:t>
      </w:r>
      <w:r w:rsidR="00092C9F" w:rsidRPr="00493755">
        <w:rPr>
          <w:rFonts w:cs="Times New Roman"/>
          <w:sz w:val="24"/>
          <w:szCs w:val="24"/>
        </w:rPr>
        <w:t>v</w:t>
      </w:r>
      <w:r w:rsidR="009477C7" w:rsidRPr="00493755">
        <w:rPr>
          <w:rFonts w:cs="Times New Roman"/>
          <w:sz w:val="24"/>
          <w:szCs w:val="24"/>
        </w:rPr>
        <w:t>isu Rail Baltica trasei nepieciešamo nekustamo īpašumu atsavināšana varētu i</w:t>
      </w:r>
      <w:r w:rsidR="00AD2273" w:rsidRPr="00493755">
        <w:rPr>
          <w:rFonts w:cs="Times New Roman"/>
          <w:sz w:val="24"/>
          <w:szCs w:val="24"/>
        </w:rPr>
        <w:t>z</w:t>
      </w:r>
      <w:r w:rsidR="009477C7" w:rsidRPr="00493755">
        <w:rPr>
          <w:rFonts w:cs="Times New Roman"/>
          <w:sz w:val="24"/>
          <w:szCs w:val="24"/>
        </w:rPr>
        <w:t xml:space="preserve">maksāt </w:t>
      </w:r>
      <w:r w:rsidR="00AD2273" w:rsidRPr="00493755">
        <w:rPr>
          <w:rFonts w:cs="Times New Roman"/>
          <w:sz w:val="24"/>
          <w:szCs w:val="24"/>
        </w:rPr>
        <w:t xml:space="preserve">139 miljonus </w:t>
      </w:r>
      <w:r w:rsidR="00AD2273" w:rsidRPr="00493755">
        <w:rPr>
          <w:rFonts w:cs="Times New Roman"/>
          <w:i/>
          <w:iCs/>
          <w:sz w:val="24"/>
          <w:szCs w:val="24"/>
        </w:rPr>
        <w:t>euro</w:t>
      </w:r>
      <w:r w:rsidR="00AD2273" w:rsidRPr="00493755">
        <w:rPr>
          <w:rFonts w:cs="Times New Roman"/>
          <w:sz w:val="24"/>
          <w:szCs w:val="24"/>
        </w:rPr>
        <w:t xml:space="preserve">. </w:t>
      </w:r>
    </w:p>
    <w:p w14:paraId="26E2EC0A" w14:textId="70421638" w:rsidR="00A94D9E" w:rsidRPr="00493755" w:rsidRDefault="70AD094E" w:rsidP="00855CF3">
      <w:pPr>
        <w:spacing w:after="0" w:line="240" w:lineRule="auto"/>
        <w:ind w:firstLine="720"/>
        <w:jc w:val="both"/>
        <w:rPr>
          <w:rFonts w:cs="Times New Roman"/>
          <w:sz w:val="24"/>
          <w:szCs w:val="24"/>
        </w:rPr>
      </w:pPr>
      <w:r w:rsidRPr="00493755">
        <w:rPr>
          <w:rFonts w:cs="Times New Roman"/>
          <w:sz w:val="24"/>
          <w:szCs w:val="24"/>
        </w:rPr>
        <w:t>Līdz 202</w:t>
      </w:r>
      <w:r w:rsidR="18C37E2D" w:rsidRPr="00493755">
        <w:rPr>
          <w:rFonts w:cs="Times New Roman"/>
          <w:sz w:val="24"/>
          <w:szCs w:val="24"/>
        </w:rPr>
        <w:t>2</w:t>
      </w:r>
      <w:r w:rsidRPr="00493755">
        <w:rPr>
          <w:rFonts w:cs="Times New Roman"/>
          <w:sz w:val="24"/>
          <w:szCs w:val="24"/>
        </w:rPr>
        <w:t>. gada</w:t>
      </w:r>
      <w:r w:rsidR="7034461C" w:rsidRPr="00493755">
        <w:rPr>
          <w:rFonts w:cs="Times New Roman"/>
          <w:sz w:val="24"/>
          <w:szCs w:val="24"/>
        </w:rPr>
        <w:t xml:space="preserve"> 1.</w:t>
      </w:r>
      <w:r w:rsidR="00BA6F31" w:rsidRPr="00493755">
        <w:rPr>
          <w:rFonts w:cs="Times New Roman"/>
          <w:sz w:val="24"/>
          <w:szCs w:val="24"/>
        </w:rPr>
        <w:t> </w:t>
      </w:r>
      <w:r w:rsidR="7034461C" w:rsidRPr="00493755">
        <w:rPr>
          <w:rFonts w:cs="Times New Roman"/>
          <w:sz w:val="24"/>
          <w:szCs w:val="24"/>
        </w:rPr>
        <w:t xml:space="preserve">janvārim </w:t>
      </w:r>
      <w:r w:rsidRPr="00493755">
        <w:rPr>
          <w:rFonts w:cs="Times New Roman"/>
          <w:sz w:val="24"/>
          <w:szCs w:val="24"/>
        </w:rPr>
        <w:t xml:space="preserve">CEF1 līguma ietvaros ir apgūti 14 139 392 </w:t>
      </w:r>
      <w:r w:rsidRPr="00493755">
        <w:rPr>
          <w:rFonts w:cs="Times New Roman"/>
          <w:i/>
          <w:iCs/>
          <w:sz w:val="24"/>
          <w:szCs w:val="24"/>
        </w:rPr>
        <w:t>euro</w:t>
      </w:r>
      <w:r w:rsidRPr="00493755">
        <w:rPr>
          <w:rFonts w:cs="Times New Roman"/>
          <w:sz w:val="24"/>
          <w:szCs w:val="24"/>
        </w:rPr>
        <w:t xml:space="preserve"> jeb 46 % no </w:t>
      </w:r>
      <w:r w:rsidR="00534AB0" w:rsidRPr="00493755">
        <w:rPr>
          <w:rFonts w:cs="Times New Roman"/>
          <w:sz w:val="24"/>
          <w:szCs w:val="24"/>
        </w:rPr>
        <w:t>nekustamo īpašumu atsavināšan</w:t>
      </w:r>
      <w:r w:rsidR="00E40FCA" w:rsidRPr="00493755">
        <w:rPr>
          <w:rFonts w:cs="Times New Roman"/>
          <w:sz w:val="24"/>
          <w:szCs w:val="24"/>
        </w:rPr>
        <w:t xml:space="preserve">ai </w:t>
      </w:r>
      <w:r w:rsidRPr="00493755">
        <w:rPr>
          <w:rFonts w:cs="Times New Roman"/>
          <w:sz w:val="24"/>
          <w:szCs w:val="24"/>
        </w:rPr>
        <w:t>pieejamā finansējuma, CEF6 līguma ietvaros nekustamo īpašumu atsavināšanas aktivitātes finanšu resursu apguve vēl nav uzsākta.</w:t>
      </w:r>
      <w:r w:rsidR="0F9F589D" w:rsidRPr="00493755">
        <w:rPr>
          <w:rFonts w:cs="Times New Roman"/>
          <w:sz w:val="24"/>
          <w:szCs w:val="24"/>
        </w:rPr>
        <w:t xml:space="preserve"> Nekustamo īpašumu atsavināšanas </w:t>
      </w:r>
      <w:r w:rsidR="76E022B7" w:rsidRPr="00493755">
        <w:rPr>
          <w:rFonts w:cs="Times New Roman"/>
          <w:sz w:val="24"/>
          <w:szCs w:val="24"/>
        </w:rPr>
        <w:t>gaita ir atspoguļota 4.</w:t>
      </w:r>
      <w:r w:rsidR="00BA6F31" w:rsidRPr="00493755">
        <w:rPr>
          <w:rFonts w:cs="Times New Roman"/>
          <w:sz w:val="24"/>
          <w:szCs w:val="24"/>
        </w:rPr>
        <w:t> </w:t>
      </w:r>
      <w:r w:rsidR="76E022B7" w:rsidRPr="00493755">
        <w:rPr>
          <w:rFonts w:cs="Times New Roman"/>
          <w:sz w:val="24"/>
          <w:szCs w:val="24"/>
        </w:rPr>
        <w:t>tabulā</w:t>
      </w:r>
      <w:r w:rsidR="06E01069" w:rsidRPr="00493755">
        <w:rPr>
          <w:rFonts w:cs="Times New Roman"/>
          <w:sz w:val="24"/>
          <w:szCs w:val="24"/>
        </w:rPr>
        <w:t>.</w:t>
      </w:r>
    </w:p>
    <w:p w14:paraId="0ABB97EB" w14:textId="77777777" w:rsidR="003414C3" w:rsidRPr="00493755" w:rsidRDefault="003414C3" w:rsidP="00855CF3">
      <w:pPr>
        <w:spacing w:after="0" w:line="240" w:lineRule="auto"/>
        <w:ind w:firstLine="720"/>
        <w:jc w:val="both"/>
        <w:rPr>
          <w:rFonts w:cs="Times New Roman"/>
          <w:sz w:val="24"/>
          <w:szCs w:val="24"/>
        </w:rPr>
      </w:pPr>
    </w:p>
    <w:p w14:paraId="033357A4" w14:textId="325B5F07" w:rsidR="00D067A1" w:rsidRPr="00493755" w:rsidRDefault="009F4B96" w:rsidP="00D067A1">
      <w:pPr>
        <w:tabs>
          <w:tab w:val="left" w:pos="993"/>
        </w:tabs>
        <w:spacing w:before="120"/>
        <w:contextualSpacing/>
        <w:jc w:val="right"/>
        <w:rPr>
          <w:rFonts w:cs="Times New Roman"/>
          <w:sz w:val="20"/>
          <w:szCs w:val="20"/>
        </w:rPr>
      </w:pPr>
      <w:r w:rsidRPr="00493755">
        <w:rPr>
          <w:rFonts w:cs="Times New Roman"/>
          <w:sz w:val="20"/>
          <w:szCs w:val="20"/>
        </w:rPr>
        <w:t>4.</w:t>
      </w:r>
      <w:r w:rsidR="00BA6F31" w:rsidRPr="00493755">
        <w:rPr>
          <w:rFonts w:cs="Times New Roman"/>
          <w:sz w:val="20"/>
          <w:szCs w:val="20"/>
        </w:rPr>
        <w:t> </w:t>
      </w:r>
      <w:r w:rsidRPr="00493755">
        <w:rPr>
          <w:rFonts w:cs="Times New Roman"/>
          <w:sz w:val="20"/>
          <w:szCs w:val="20"/>
        </w:rPr>
        <w:t xml:space="preserve">tabula </w:t>
      </w:r>
      <w:r w:rsidR="00D067A1" w:rsidRPr="00493755">
        <w:rPr>
          <w:rFonts w:cs="Times New Roman"/>
          <w:sz w:val="20"/>
          <w:szCs w:val="20"/>
        </w:rPr>
        <w:t xml:space="preserve">Nekustamo īpašumu atsavināšanas gaita </w:t>
      </w:r>
    </w:p>
    <w:tbl>
      <w:tblPr>
        <w:tblStyle w:val="TableGrid"/>
        <w:tblW w:w="0" w:type="auto"/>
        <w:tblLook w:val="04A0" w:firstRow="1" w:lastRow="0" w:firstColumn="1" w:lastColumn="0" w:noHBand="0" w:noVBand="1"/>
      </w:tblPr>
      <w:tblGrid>
        <w:gridCol w:w="2405"/>
        <w:gridCol w:w="1105"/>
        <w:gridCol w:w="1756"/>
        <w:gridCol w:w="1756"/>
        <w:gridCol w:w="1756"/>
      </w:tblGrid>
      <w:tr w:rsidR="00E37A62" w:rsidRPr="00493755" w14:paraId="547401A0" w14:textId="77777777" w:rsidTr="006E62EB">
        <w:tc>
          <w:tcPr>
            <w:tcW w:w="2405" w:type="dxa"/>
          </w:tcPr>
          <w:p w14:paraId="1AB3F340" w14:textId="77777777" w:rsidR="00E37A62" w:rsidRPr="00493755" w:rsidRDefault="00E37A62" w:rsidP="00D067A1">
            <w:pPr>
              <w:tabs>
                <w:tab w:val="left" w:pos="993"/>
              </w:tabs>
              <w:spacing w:before="120"/>
              <w:contextualSpacing/>
              <w:jc w:val="right"/>
              <w:rPr>
                <w:rFonts w:cs="Times New Roman"/>
                <w:sz w:val="20"/>
                <w:szCs w:val="20"/>
              </w:rPr>
            </w:pPr>
          </w:p>
        </w:tc>
        <w:tc>
          <w:tcPr>
            <w:tcW w:w="1105" w:type="dxa"/>
          </w:tcPr>
          <w:p w14:paraId="04879BB2" w14:textId="454D7105" w:rsidR="00E37A62" w:rsidRPr="00493755" w:rsidRDefault="000E03DD" w:rsidP="00B43E21">
            <w:pPr>
              <w:tabs>
                <w:tab w:val="left" w:pos="993"/>
              </w:tabs>
              <w:spacing w:before="120"/>
              <w:contextualSpacing/>
              <w:jc w:val="center"/>
              <w:rPr>
                <w:rFonts w:cs="Times New Roman"/>
                <w:sz w:val="20"/>
                <w:szCs w:val="20"/>
              </w:rPr>
            </w:pPr>
            <w:r w:rsidRPr="00493755">
              <w:rPr>
                <w:rFonts w:cs="Times New Roman"/>
                <w:sz w:val="20"/>
                <w:szCs w:val="20"/>
              </w:rPr>
              <w:t>2019</w:t>
            </w:r>
          </w:p>
        </w:tc>
        <w:tc>
          <w:tcPr>
            <w:tcW w:w="1756" w:type="dxa"/>
          </w:tcPr>
          <w:p w14:paraId="616CAD0A" w14:textId="5F0484F9" w:rsidR="00E37A62" w:rsidRPr="00493755" w:rsidRDefault="000E03DD" w:rsidP="00B43E21">
            <w:pPr>
              <w:tabs>
                <w:tab w:val="left" w:pos="993"/>
              </w:tabs>
              <w:spacing w:before="120"/>
              <w:contextualSpacing/>
              <w:jc w:val="center"/>
              <w:rPr>
                <w:rFonts w:cs="Times New Roman"/>
                <w:sz w:val="20"/>
                <w:szCs w:val="20"/>
              </w:rPr>
            </w:pPr>
            <w:r w:rsidRPr="00493755">
              <w:rPr>
                <w:rFonts w:cs="Times New Roman"/>
                <w:sz w:val="20"/>
                <w:szCs w:val="20"/>
              </w:rPr>
              <w:t>2020</w:t>
            </w:r>
          </w:p>
        </w:tc>
        <w:tc>
          <w:tcPr>
            <w:tcW w:w="1756" w:type="dxa"/>
          </w:tcPr>
          <w:p w14:paraId="21374D60" w14:textId="47215930" w:rsidR="00E37A62" w:rsidRPr="00493755" w:rsidRDefault="000E03DD" w:rsidP="00B43E21">
            <w:pPr>
              <w:tabs>
                <w:tab w:val="left" w:pos="993"/>
              </w:tabs>
              <w:spacing w:before="120"/>
              <w:contextualSpacing/>
              <w:jc w:val="center"/>
              <w:rPr>
                <w:rFonts w:cs="Times New Roman"/>
                <w:sz w:val="20"/>
                <w:szCs w:val="20"/>
              </w:rPr>
            </w:pPr>
            <w:r w:rsidRPr="00493755">
              <w:rPr>
                <w:rFonts w:cs="Times New Roman"/>
                <w:sz w:val="20"/>
                <w:szCs w:val="20"/>
              </w:rPr>
              <w:t>2021</w:t>
            </w:r>
          </w:p>
        </w:tc>
        <w:tc>
          <w:tcPr>
            <w:tcW w:w="1756" w:type="dxa"/>
          </w:tcPr>
          <w:p w14:paraId="61A00F33" w14:textId="1BBA4F9C" w:rsidR="00E37A62" w:rsidRPr="00493755" w:rsidRDefault="000E03DD" w:rsidP="00B43E21">
            <w:pPr>
              <w:tabs>
                <w:tab w:val="left" w:pos="993"/>
              </w:tabs>
              <w:spacing w:before="120"/>
              <w:contextualSpacing/>
              <w:jc w:val="center"/>
              <w:rPr>
                <w:rFonts w:cs="Times New Roman"/>
                <w:sz w:val="20"/>
                <w:szCs w:val="20"/>
              </w:rPr>
            </w:pPr>
            <w:r w:rsidRPr="00493755">
              <w:rPr>
                <w:rFonts w:cs="Times New Roman"/>
                <w:sz w:val="20"/>
                <w:szCs w:val="20"/>
              </w:rPr>
              <w:t>Kopā</w:t>
            </w:r>
          </w:p>
        </w:tc>
      </w:tr>
      <w:tr w:rsidR="00E37A62" w:rsidRPr="00493755" w14:paraId="60E75A29" w14:textId="77777777" w:rsidTr="006E62EB">
        <w:tc>
          <w:tcPr>
            <w:tcW w:w="2405" w:type="dxa"/>
          </w:tcPr>
          <w:p w14:paraId="016F38C3" w14:textId="04F1DEBA" w:rsidR="00E37A62" w:rsidRPr="00493755" w:rsidRDefault="002D65EA" w:rsidP="000948BA">
            <w:pPr>
              <w:tabs>
                <w:tab w:val="left" w:pos="993"/>
              </w:tabs>
              <w:spacing w:before="120"/>
              <w:contextualSpacing/>
              <w:rPr>
                <w:rFonts w:cs="Times New Roman"/>
                <w:sz w:val="20"/>
                <w:szCs w:val="20"/>
              </w:rPr>
            </w:pPr>
            <w:r w:rsidRPr="00493755">
              <w:rPr>
                <w:rFonts w:cs="Times New Roman"/>
                <w:sz w:val="20"/>
                <w:szCs w:val="20"/>
              </w:rPr>
              <w:t xml:space="preserve">Publisko personu </w:t>
            </w:r>
            <w:r w:rsidR="006E62EB" w:rsidRPr="00493755">
              <w:rPr>
                <w:rFonts w:cs="Times New Roman"/>
                <w:sz w:val="20"/>
                <w:szCs w:val="20"/>
              </w:rPr>
              <w:t>īpašumi</w:t>
            </w:r>
          </w:p>
        </w:tc>
        <w:tc>
          <w:tcPr>
            <w:tcW w:w="1105" w:type="dxa"/>
          </w:tcPr>
          <w:p w14:paraId="22E137F4" w14:textId="49494E6E" w:rsidR="00E37A62" w:rsidRPr="00493755" w:rsidRDefault="006E62EB" w:rsidP="00B43E21">
            <w:pPr>
              <w:tabs>
                <w:tab w:val="left" w:pos="993"/>
              </w:tabs>
              <w:spacing w:before="120"/>
              <w:contextualSpacing/>
              <w:jc w:val="center"/>
              <w:rPr>
                <w:rFonts w:cs="Times New Roman"/>
                <w:sz w:val="20"/>
                <w:szCs w:val="20"/>
              </w:rPr>
            </w:pPr>
            <w:r w:rsidRPr="00493755">
              <w:rPr>
                <w:rFonts w:cs="Times New Roman"/>
                <w:sz w:val="20"/>
                <w:szCs w:val="20"/>
              </w:rPr>
              <w:t>2</w:t>
            </w:r>
          </w:p>
        </w:tc>
        <w:tc>
          <w:tcPr>
            <w:tcW w:w="1756" w:type="dxa"/>
          </w:tcPr>
          <w:p w14:paraId="352C5E70" w14:textId="2D198C2D" w:rsidR="00E37A62" w:rsidRPr="00493755" w:rsidRDefault="006E62EB" w:rsidP="00B43E21">
            <w:pPr>
              <w:tabs>
                <w:tab w:val="left" w:pos="993"/>
              </w:tabs>
              <w:spacing w:before="120"/>
              <w:contextualSpacing/>
              <w:jc w:val="center"/>
              <w:rPr>
                <w:rFonts w:cs="Times New Roman"/>
                <w:sz w:val="20"/>
                <w:szCs w:val="20"/>
              </w:rPr>
            </w:pPr>
            <w:r w:rsidRPr="00493755">
              <w:rPr>
                <w:rFonts w:cs="Times New Roman"/>
                <w:sz w:val="20"/>
                <w:szCs w:val="20"/>
              </w:rPr>
              <w:t>54</w:t>
            </w:r>
          </w:p>
        </w:tc>
        <w:tc>
          <w:tcPr>
            <w:tcW w:w="1756" w:type="dxa"/>
          </w:tcPr>
          <w:p w14:paraId="022FC905" w14:textId="551E7A8B" w:rsidR="00E37A62" w:rsidRPr="00493755" w:rsidRDefault="001F2414" w:rsidP="00B43E21">
            <w:pPr>
              <w:tabs>
                <w:tab w:val="left" w:pos="993"/>
              </w:tabs>
              <w:spacing w:before="120"/>
              <w:contextualSpacing/>
              <w:jc w:val="center"/>
              <w:rPr>
                <w:rFonts w:cs="Times New Roman"/>
                <w:sz w:val="20"/>
                <w:szCs w:val="20"/>
              </w:rPr>
            </w:pPr>
            <w:r w:rsidRPr="00493755">
              <w:rPr>
                <w:rFonts w:cs="Times New Roman"/>
                <w:sz w:val="20"/>
                <w:szCs w:val="20"/>
              </w:rPr>
              <w:t>17</w:t>
            </w:r>
          </w:p>
        </w:tc>
        <w:tc>
          <w:tcPr>
            <w:tcW w:w="1756" w:type="dxa"/>
          </w:tcPr>
          <w:p w14:paraId="7E3F63DF" w14:textId="7F7412CC" w:rsidR="00E37A62" w:rsidRPr="00493755" w:rsidRDefault="000619A6" w:rsidP="00B43E21">
            <w:pPr>
              <w:tabs>
                <w:tab w:val="left" w:pos="993"/>
              </w:tabs>
              <w:spacing w:before="120"/>
              <w:contextualSpacing/>
              <w:jc w:val="center"/>
              <w:rPr>
                <w:rFonts w:cs="Times New Roman"/>
                <w:sz w:val="20"/>
                <w:szCs w:val="20"/>
              </w:rPr>
            </w:pPr>
            <w:r w:rsidRPr="00493755">
              <w:rPr>
                <w:rFonts w:cs="Times New Roman"/>
                <w:sz w:val="20"/>
                <w:szCs w:val="20"/>
              </w:rPr>
              <w:t>73</w:t>
            </w:r>
          </w:p>
        </w:tc>
      </w:tr>
      <w:tr w:rsidR="00E37A62" w:rsidRPr="00493755" w14:paraId="0CD03FA7" w14:textId="77777777" w:rsidTr="006E62EB">
        <w:tc>
          <w:tcPr>
            <w:tcW w:w="2405" w:type="dxa"/>
          </w:tcPr>
          <w:p w14:paraId="267ABEAC" w14:textId="2037BEB0" w:rsidR="00E37A62" w:rsidRPr="00493755" w:rsidRDefault="006E62EB" w:rsidP="000948BA">
            <w:pPr>
              <w:tabs>
                <w:tab w:val="left" w:pos="993"/>
              </w:tabs>
              <w:spacing w:before="120"/>
              <w:contextualSpacing/>
              <w:rPr>
                <w:rFonts w:cs="Times New Roman"/>
                <w:sz w:val="20"/>
                <w:szCs w:val="20"/>
              </w:rPr>
            </w:pPr>
            <w:r w:rsidRPr="00493755">
              <w:rPr>
                <w:rFonts w:cs="Times New Roman"/>
                <w:sz w:val="20"/>
                <w:szCs w:val="20"/>
              </w:rPr>
              <w:t>Privāto personu īpašumi</w:t>
            </w:r>
          </w:p>
        </w:tc>
        <w:tc>
          <w:tcPr>
            <w:tcW w:w="1105" w:type="dxa"/>
          </w:tcPr>
          <w:p w14:paraId="4DF195EA" w14:textId="0D0675AA" w:rsidR="00E37A62" w:rsidRPr="00493755" w:rsidRDefault="00DF2F1C" w:rsidP="00B43E21">
            <w:pPr>
              <w:tabs>
                <w:tab w:val="left" w:pos="993"/>
              </w:tabs>
              <w:spacing w:before="120"/>
              <w:contextualSpacing/>
              <w:jc w:val="center"/>
              <w:rPr>
                <w:rFonts w:cs="Times New Roman"/>
                <w:sz w:val="20"/>
                <w:szCs w:val="20"/>
              </w:rPr>
            </w:pPr>
            <w:r w:rsidRPr="00493755">
              <w:rPr>
                <w:rFonts w:cs="Times New Roman"/>
                <w:sz w:val="20"/>
                <w:szCs w:val="20"/>
              </w:rPr>
              <w:t>0</w:t>
            </w:r>
          </w:p>
        </w:tc>
        <w:tc>
          <w:tcPr>
            <w:tcW w:w="1756" w:type="dxa"/>
          </w:tcPr>
          <w:p w14:paraId="48110C25" w14:textId="6EE964E0" w:rsidR="00E37A62" w:rsidRPr="00493755" w:rsidRDefault="00DF2F1C" w:rsidP="00B43E21">
            <w:pPr>
              <w:tabs>
                <w:tab w:val="left" w:pos="993"/>
              </w:tabs>
              <w:spacing w:before="120"/>
              <w:contextualSpacing/>
              <w:jc w:val="center"/>
              <w:rPr>
                <w:rFonts w:cs="Times New Roman"/>
                <w:sz w:val="20"/>
                <w:szCs w:val="20"/>
              </w:rPr>
            </w:pPr>
            <w:r w:rsidRPr="00493755">
              <w:rPr>
                <w:rFonts w:cs="Times New Roman"/>
                <w:sz w:val="20"/>
                <w:szCs w:val="20"/>
              </w:rPr>
              <w:t>45</w:t>
            </w:r>
          </w:p>
        </w:tc>
        <w:tc>
          <w:tcPr>
            <w:tcW w:w="1756" w:type="dxa"/>
          </w:tcPr>
          <w:p w14:paraId="510BD4FC" w14:textId="518CA13E" w:rsidR="00E37A62" w:rsidRPr="00493755" w:rsidRDefault="001F2414" w:rsidP="00B43E21">
            <w:pPr>
              <w:tabs>
                <w:tab w:val="left" w:pos="993"/>
              </w:tabs>
              <w:spacing w:before="120"/>
              <w:contextualSpacing/>
              <w:jc w:val="center"/>
              <w:rPr>
                <w:rFonts w:cs="Times New Roman"/>
                <w:sz w:val="20"/>
                <w:szCs w:val="20"/>
              </w:rPr>
            </w:pPr>
            <w:r w:rsidRPr="00493755">
              <w:rPr>
                <w:rFonts w:cs="Times New Roman"/>
                <w:sz w:val="20"/>
                <w:szCs w:val="20"/>
              </w:rPr>
              <w:t>3</w:t>
            </w:r>
          </w:p>
        </w:tc>
        <w:tc>
          <w:tcPr>
            <w:tcW w:w="1756" w:type="dxa"/>
          </w:tcPr>
          <w:p w14:paraId="4DF6B6D1" w14:textId="24FEE40D" w:rsidR="00E37A62" w:rsidRPr="00493755" w:rsidRDefault="000619A6" w:rsidP="00B43E21">
            <w:pPr>
              <w:tabs>
                <w:tab w:val="left" w:pos="993"/>
              </w:tabs>
              <w:spacing w:before="120"/>
              <w:contextualSpacing/>
              <w:jc w:val="center"/>
              <w:rPr>
                <w:rFonts w:cs="Times New Roman"/>
                <w:sz w:val="20"/>
                <w:szCs w:val="20"/>
              </w:rPr>
            </w:pPr>
            <w:r w:rsidRPr="00493755">
              <w:rPr>
                <w:rFonts w:cs="Times New Roman"/>
                <w:sz w:val="20"/>
                <w:szCs w:val="20"/>
              </w:rPr>
              <w:t>48</w:t>
            </w:r>
          </w:p>
        </w:tc>
      </w:tr>
      <w:tr w:rsidR="002D65EA" w:rsidRPr="00493755" w14:paraId="36BBDEEB" w14:textId="77777777" w:rsidTr="006E62EB">
        <w:tc>
          <w:tcPr>
            <w:tcW w:w="2405" w:type="dxa"/>
          </w:tcPr>
          <w:p w14:paraId="4C30279C" w14:textId="567E3F3F" w:rsidR="002D65EA" w:rsidRPr="00493755" w:rsidRDefault="00DF2F1C" w:rsidP="000948BA">
            <w:pPr>
              <w:tabs>
                <w:tab w:val="left" w:pos="993"/>
              </w:tabs>
              <w:spacing w:before="120"/>
              <w:contextualSpacing/>
              <w:rPr>
                <w:rFonts w:cs="Times New Roman"/>
                <w:sz w:val="20"/>
                <w:szCs w:val="20"/>
              </w:rPr>
            </w:pPr>
            <w:r w:rsidRPr="00493755">
              <w:rPr>
                <w:rFonts w:cs="Times New Roman"/>
                <w:sz w:val="20"/>
                <w:szCs w:val="20"/>
              </w:rPr>
              <w:t>Īpašumi kopā</w:t>
            </w:r>
            <w:r w:rsidR="000948BA" w:rsidRPr="00493755">
              <w:rPr>
                <w:rFonts w:cs="Times New Roman"/>
                <w:sz w:val="20"/>
                <w:szCs w:val="20"/>
              </w:rPr>
              <w:t xml:space="preserve">, gadā </w:t>
            </w:r>
          </w:p>
        </w:tc>
        <w:tc>
          <w:tcPr>
            <w:tcW w:w="1105" w:type="dxa"/>
          </w:tcPr>
          <w:p w14:paraId="6E6C58C5" w14:textId="4BE6703F" w:rsidR="002D65EA" w:rsidRPr="00493755" w:rsidRDefault="00B43E21" w:rsidP="00B43E21">
            <w:pPr>
              <w:tabs>
                <w:tab w:val="left" w:pos="993"/>
              </w:tabs>
              <w:spacing w:before="120"/>
              <w:contextualSpacing/>
              <w:jc w:val="center"/>
              <w:rPr>
                <w:rFonts w:cs="Times New Roman"/>
                <w:sz w:val="20"/>
                <w:szCs w:val="20"/>
              </w:rPr>
            </w:pPr>
            <w:r w:rsidRPr="00493755">
              <w:rPr>
                <w:rFonts w:cs="Times New Roman"/>
                <w:sz w:val="20"/>
                <w:szCs w:val="20"/>
              </w:rPr>
              <w:t>2</w:t>
            </w:r>
          </w:p>
        </w:tc>
        <w:tc>
          <w:tcPr>
            <w:tcW w:w="1756" w:type="dxa"/>
          </w:tcPr>
          <w:p w14:paraId="4D967A3F" w14:textId="0FDBBE60" w:rsidR="002D65EA" w:rsidRPr="00493755" w:rsidRDefault="00B43E21" w:rsidP="00B43E21">
            <w:pPr>
              <w:tabs>
                <w:tab w:val="left" w:pos="993"/>
              </w:tabs>
              <w:spacing w:before="120"/>
              <w:contextualSpacing/>
              <w:jc w:val="center"/>
              <w:rPr>
                <w:rFonts w:cs="Times New Roman"/>
                <w:sz w:val="20"/>
                <w:szCs w:val="20"/>
              </w:rPr>
            </w:pPr>
            <w:r w:rsidRPr="00493755">
              <w:rPr>
                <w:rFonts w:cs="Times New Roman"/>
                <w:sz w:val="20"/>
                <w:szCs w:val="20"/>
              </w:rPr>
              <w:t>99</w:t>
            </w:r>
          </w:p>
        </w:tc>
        <w:tc>
          <w:tcPr>
            <w:tcW w:w="1756" w:type="dxa"/>
          </w:tcPr>
          <w:p w14:paraId="20DCA652" w14:textId="2BEC8198" w:rsidR="002D65EA" w:rsidRPr="00493755" w:rsidRDefault="0006642A" w:rsidP="00B43E21">
            <w:pPr>
              <w:tabs>
                <w:tab w:val="left" w:pos="993"/>
              </w:tabs>
              <w:spacing w:before="120"/>
              <w:contextualSpacing/>
              <w:jc w:val="center"/>
              <w:rPr>
                <w:rFonts w:cs="Times New Roman"/>
                <w:sz w:val="20"/>
                <w:szCs w:val="20"/>
              </w:rPr>
            </w:pPr>
            <w:r w:rsidRPr="00493755">
              <w:rPr>
                <w:rFonts w:cs="Times New Roman"/>
                <w:sz w:val="20"/>
                <w:szCs w:val="20"/>
              </w:rPr>
              <w:t>20</w:t>
            </w:r>
          </w:p>
        </w:tc>
        <w:tc>
          <w:tcPr>
            <w:tcW w:w="1756" w:type="dxa"/>
          </w:tcPr>
          <w:p w14:paraId="4BE54CB0" w14:textId="6B7A223F" w:rsidR="002D65EA" w:rsidRPr="00493755" w:rsidRDefault="00EE5A62" w:rsidP="00B43E21">
            <w:pPr>
              <w:tabs>
                <w:tab w:val="left" w:pos="993"/>
              </w:tabs>
              <w:spacing w:before="120"/>
              <w:contextualSpacing/>
              <w:jc w:val="center"/>
              <w:rPr>
                <w:rFonts w:cs="Times New Roman"/>
                <w:sz w:val="20"/>
                <w:szCs w:val="20"/>
              </w:rPr>
            </w:pPr>
            <w:r w:rsidRPr="00493755">
              <w:rPr>
                <w:rFonts w:cs="Times New Roman"/>
                <w:sz w:val="20"/>
                <w:szCs w:val="20"/>
              </w:rPr>
              <w:t>1</w:t>
            </w:r>
            <w:r w:rsidR="00F664B6" w:rsidRPr="00493755">
              <w:rPr>
                <w:rFonts w:cs="Times New Roman"/>
                <w:sz w:val="20"/>
                <w:szCs w:val="20"/>
              </w:rPr>
              <w:t>21</w:t>
            </w:r>
          </w:p>
        </w:tc>
      </w:tr>
      <w:tr w:rsidR="000948BA" w:rsidRPr="00493755" w14:paraId="3160D06D" w14:textId="77777777" w:rsidTr="006E62EB">
        <w:tc>
          <w:tcPr>
            <w:tcW w:w="2405" w:type="dxa"/>
          </w:tcPr>
          <w:p w14:paraId="5EDA4837" w14:textId="01F40292" w:rsidR="000948BA" w:rsidRPr="00493755" w:rsidRDefault="000948BA" w:rsidP="000948BA">
            <w:pPr>
              <w:tabs>
                <w:tab w:val="left" w:pos="993"/>
              </w:tabs>
              <w:spacing w:before="120"/>
              <w:contextualSpacing/>
              <w:rPr>
                <w:rFonts w:cs="Times New Roman"/>
                <w:sz w:val="20"/>
                <w:szCs w:val="20"/>
              </w:rPr>
            </w:pPr>
            <w:r w:rsidRPr="00493755">
              <w:rPr>
                <w:rFonts w:cs="Times New Roman"/>
                <w:sz w:val="20"/>
                <w:szCs w:val="20"/>
              </w:rPr>
              <w:t xml:space="preserve">Īpašumi </w:t>
            </w:r>
            <w:r w:rsidR="001E1DCF" w:rsidRPr="00493755">
              <w:rPr>
                <w:rFonts w:cs="Times New Roman"/>
                <w:sz w:val="20"/>
                <w:szCs w:val="20"/>
              </w:rPr>
              <w:t xml:space="preserve">kopā, kumulatīvi </w:t>
            </w:r>
          </w:p>
        </w:tc>
        <w:tc>
          <w:tcPr>
            <w:tcW w:w="1105" w:type="dxa"/>
          </w:tcPr>
          <w:p w14:paraId="771153D3" w14:textId="626D04B0" w:rsidR="000948BA" w:rsidRPr="00493755" w:rsidRDefault="00B43E21" w:rsidP="00B43E21">
            <w:pPr>
              <w:tabs>
                <w:tab w:val="left" w:pos="993"/>
              </w:tabs>
              <w:spacing w:before="120"/>
              <w:contextualSpacing/>
              <w:jc w:val="center"/>
              <w:rPr>
                <w:rFonts w:cs="Times New Roman"/>
                <w:sz w:val="20"/>
                <w:szCs w:val="20"/>
              </w:rPr>
            </w:pPr>
            <w:r w:rsidRPr="00493755">
              <w:rPr>
                <w:rFonts w:cs="Times New Roman"/>
                <w:sz w:val="20"/>
                <w:szCs w:val="20"/>
              </w:rPr>
              <w:t>2</w:t>
            </w:r>
          </w:p>
        </w:tc>
        <w:tc>
          <w:tcPr>
            <w:tcW w:w="1756" w:type="dxa"/>
          </w:tcPr>
          <w:p w14:paraId="6EC9AA6E" w14:textId="45ED6DC2" w:rsidR="000948BA" w:rsidRPr="00493755" w:rsidRDefault="00B43E21" w:rsidP="00B43E21">
            <w:pPr>
              <w:tabs>
                <w:tab w:val="left" w:pos="993"/>
              </w:tabs>
              <w:spacing w:before="120"/>
              <w:contextualSpacing/>
              <w:jc w:val="center"/>
              <w:rPr>
                <w:rFonts w:cs="Times New Roman"/>
                <w:sz w:val="20"/>
                <w:szCs w:val="20"/>
              </w:rPr>
            </w:pPr>
            <w:r w:rsidRPr="00493755">
              <w:rPr>
                <w:rFonts w:cs="Times New Roman"/>
                <w:sz w:val="20"/>
                <w:szCs w:val="20"/>
              </w:rPr>
              <w:t>101</w:t>
            </w:r>
          </w:p>
        </w:tc>
        <w:tc>
          <w:tcPr>
            <w:tcW w:w="1756" w:type="dxa"/>
          </w:tcPr>
          <w:p w14:paraId="499C23A3" w14:textId="6DE0FB82" w:rsidR="000948BA" w:rsidRPr="00493755" w:rsidRDefault="0006642A" w:rsidP="00B43E21">
            <w:pPr>
              <w:tabs>
                <w:tab w:val="left" w:pos="993"/>
              </w:tabs>
              <w:spacing w:before="120"/>
              <w:contextualSpacing/>
              <w:jc w:val="center"/>
              <w:rPr>
                <w:rFonts w:cs="Times New Roman"/>
                <w:sz w:val="20"/>
                <w:szCs w:val="20"/>
              </w:rPr>
            </w:pPr>
            <w:r w:rsidRPr="00493755">
              <w:rPr>
                <w:rFonts w:cs="Times New Roman"/>
                <w:sz w:val="20"/>
                <w:szCs w:val="20"/>
              </w:rPr>
              <w:t>121</w:t>
            </w:r>
          </w:p>
        </w:tc>
        <w:tc>
          <w:tcPr>
            <w:tcW w:w="1756" w:type="dxa"/>
          </w:tcPr>
          <w:p w14:paraId="061010CA" w14:textId="77777777" w:rsidR="000948BA" w:rsidRPr="00493755" w:rsidRDefault="000948BA" w:rsidP="00B43E21">
            <w:pPr>
              <w:tabs>
                <w:tab w:val="left" w:pos="993"/>
              </w:tabs>
              <w:spacing w:before="120"/>
              <w:contextualSpacing/>
              <w:jc w:val="center"/>
              <w:rPr>
                <w:rFonts w:cs="Times New Roman"/>
                <w:sz w:val="20"/>
                <w:szCs w:val="20"/>
              </w:rPr>
            </w:pPr>
          </w:p>
        </w:tc>
      </w:tr>
    </w:tbl>
    <w:p w14:paraId="15F17AB4" w14:textId="77777777" w:rsidR="006C0922" w:rsidRPr="00493755" w:rsidRDefault="006C0922" w:rsidP="00D067A1">
      <w:pPr>
        <w:tabs>
          <w:tab w:val="left" w:pos="993"/>
        </w:tabs>
        <w:spacing w:before="120"/>
        <w:contextualSpacing/>
        <w:jc w:val="right"/>
        <w:rPr>
          <w:rFonts w:cs="Times New Roman"/>
          <w:sz w:val="22"/>
        </w:rPr>
      </w:pPr>
    </w:p>
    <w:p w14:paraId="525A03F0" w14:textId="520B5EB4" w:rsidR="00050737" w:rsidRPr="00493755" w:rsidRDefault="006A710E" w:rsidP="006A710E">
      <w:pPr>
        <w:spacing w:after="0" w:line="240" w:lineRule="auto"/>
        <w:contextualSpacing/>
        <w:jc w:val="both"/>
        <w:rPr>
          <w:rFonts w:eastAsia="Times New Roman" w:cs="Times New Roman"/>
          <w:sz w:val="24"/>
          <w:szCs w:val="24"/>
          <w:lang w:val="lv"/>
        </w:rPr>
      </w:pPr>
      <w:r w:rsidRPr="00493755">
        <w:rPr>
          <w:rFonts w:cs="Times New Roman"/>
          <w:sz w:val="22"/>
        </w:rPr>
        <w:tab/>
      </w:r>
      <w:r w:rsidR="3606186A" w:rsidRPr="00493755">
        <w:rPr>
          <w:rFonts w:eastAsia="Times New Roman" w:cs="Times New Roman"/>
          <w:sz w:val="24"/>
          <w:szCs w:val="24"/>
          <w:lang w:val="lv"/>
        </w:rPr>
        <w:t>Lēnā nekustamo īpašumu atsavināšanas gaita ir skaidrojama ar diviem iemesliem: Latvija cenšas neatsavināt īpašumus, kurus nav iespējams nodot būvniekiem, jo nav piešķirts finansējums būvniecībai, kā arī cenšas izvairīties no piespiedu atsavināšanas procesa. Attiecībā uz atsavināto un Rail Baltica projektam pārņemto īpašumu skaitu jāpiebilst, ka šobrīd nav pieņemts neviens likumprojekts par piespiedu atsavināšanu. Pašreiz izskatīšanai Saeimā iesniegti pieci likumprojekti, bet par vienu likumprojektu nosūtīta vēstule Saeimai ar lūgumu atsaukt likumprojekta turpmāko izskatīšanu, jo, turpinot komunicēt ar privātpersonu pat pēc likumprojekta sagatavošanas, panākta vienošanās par labprātīgu īpašuma atsavināšanu.</w:t>
      </w:r>
    </w:p>
    <w:p w14:paraId="4011EE78" w14:textId="3DFA0FFA" w:rsidR="00050737" w:rsidRPr="00493755" w:rsidRDefault="3606186A" w:rsidP="006A710E">
      <w:pPr>
        <w:tabs>
          <w:tab w:val="left" w:pos="993"/>
        </w:tabs>
        <w:spacing w:after="0" w:line="240" w:lineRule="auto"/>
        <w:ind w:firstLine="709"/>
        <w:contextualSpacing/>
        <w:jc w:val="both"/>
        <w:rPr>
          <w:rFonts w:eastAsia="Times New Roman" w:cs="Times New Roman"/>
          <w:sz w:val="24"/>
          <w:szCs w:val="24"/>
        </w:rPr>
      </w:pPr>
      <w:r w:rsidRPr="00493755">
        <w:rPr>
          <w:rFonts w:eastAsia="Times New Roman" w:cs="Times New Roman"/>
          <w:sz w:val="24"/>
          <w:szCs w:val="24"/>
          <w:lang w:val="lv"/>
        </w:rPr>
        <w:t>Latvijas Republikas Satversmes 105. pants nosaka, ka ikvienam ir tiesības uz īpašumu un īpašuma piespiedu atsavināšana sabiedrības vajadzībām pieļaujama tikai izņēmuma gadījumos uz atsevišķa likuma pamata pret taisnīgu atlīdzību, savukārt Sabiedrības vajadzībām nepieciešamā nekustamā īpašuma atsavināšanas likums</w:t>
      </w:r>
      <w:r w:rsidRPr="00493755">
        <w:rPr>
          <w:rFonts w:eastAsia="Times New Roman" w:cs="Times New Roman"/>
          <w:sz w:val="24"/>
          <w:szCs w:val="24"/>
        </w:rPr>
        <w:t xml:space="preserve"> (turpmāk – Likums) stingri reglamentē sabiedrības vajadzībām nepieciešamā nekustamā īpašuma atsavināšanas procesu, līdz ar to primāri tiek veidots dialogs ar privātpersonu, lai vienotos par labprātīgu īpašuma atsavināšanu un lai pēc iespējas mazāk skartu katras privātpersonas īpašumu, mantisko stāvokli vai pēc iespējas mazāk ietekmētu uzņēmējdarbību.</w:t>
      </w:r>
    </w:p>
    <w:p w14:paraId="7D5356C6" w14:textId="057DD795" w:rsidR="00050737" w:rsidRPr="00493755" w:rsidRDefault="3606186A" w:rsidP="006A710E">
      <w:pPr>
        <w:tabs>
          <w:tab w:val="left" w:pos="993"/>
        </w:tabs>
        <w:spacing w:after="0" w:line="240" w:lineRule="auto"/>
        <w:ind w:firstLine="709"/>
        <w:contextualSpacing/>
        <w:jc w:val="both"/>
        <w:rPr>
          <w:rFonts w:eastAsia="Times New Roman" w:cs="Times New Roman"/>
          <w:sz w:val="24"/>
          <w:szCs w:val="24"/>
          <w:lang w:val="lv"/>
        </w:rPr>
      </w:pPr>
      <w:r w:rsidRPr="00493755">
        <w:rPr>
          <w:rFonts w:eastAsia="Times New Roman" w:cs="Times New Roman"/>
          <w:sz w:val="24"/>
          <w:szCs w:val="24"/>
          <w:lang w:val="lv"/>
        </w:rPr>
        <w:t>Likums nosaka, ka privātpersonas ņem aktīvu dalību atsavināšanas procesā, proti, piesaka zaudējumus, sniedz papildu dokumentāciju par īpašumu, lai pēc iespējas precīzāk noteiktu taisnīgu atlīdzību, kā arī privātpersonām ir tiesības iesniegt savu nekustamā īpašuma novērtējumu, ja persona nepiekrīt noteiktajai atlīdzībai. Ņemot vērā minēto un to, ka Rail Baltica projekts ir globāls un prasa papildu izpēti un iedziļināšanos nestandarta situācijās arī trešajām pusēm (</w:t>
      </w:r>
      <w:proofErr w:type="spellStart"/>
      <w:r w:rsidRPr="00493755">
        <w:rPr>
          <w:rFonts w:eastAsia="Times New Roman" w:cs="Times New Roman"/>
          <w:sz w:val="24"/>
          <w:szCs w:val="24"/>
          <w:lang w:val="lv"/>
        </w:rPr>
        <w:t>būveksperti</w:t>
      </w:r>
      <w:proofErr w:type="spellEnd"/>
      <w:r w:rsidRPr="00493755">
        <w:rPr>
          <w:rFonts w:eastAsia="Times New Roman" w:cs="Times New Roman"/>
          <w:sz w:val="24"/>
          <w:szCs w:val="24"/>
          <w:lang w:val="lv"/>
        </w:rPr>
        <w:t>, biedrība “Latvijas īpašumu vērtētāju asociācija u.c.), prakse rāda, ka privātpersonu un citu trešo personu iesaiste paildzina atsavināšanas procesu, proti, ne vienmēr privātpersonai ir iespēja noteiktajā laikā piedalīties īpašuma apsekošanā ar vērtētāju (kā rezultātā apskate jāpārceļ), bieži vien privātpersona ar kavēšanos iesniedz pašas pasūtīto nekustamā īpašuma novērtējumu vai dokumentus, kas raksturo īpašumu un ir būtiski atlīdzības noteikšanā, kā arī, ņemot vērā projekta unikalitāti un vērienīgumu, arī piesaistīto ekspertu viedokļi tiek sniegti ar kavēšanos.</w:t>
      </w:r>
    </w:p>
    <w:p w14:paraId="788C46F4" w14:textId="12AE7F59" w:rsidR="00050737" w:rsidRPr="00493755" w:rsidRDefault="3606186A" w:rsidP="006A710E">
      <w:pPr>
        <w:tabs>
          <w:tab w:val="left" w:pos="993"/>
        </w:tabs>
        <w:spacing w:after="0" w:line="240" w:lineRule="auto"/>
        <w:ind w:firstLine="709"/>
        <w:contextualSpacing/>
        <w:jc w:val="both"/>
        <w:rPr>
          <w:rFonts w:eastAsia="Times New Roman" w:cs="Times New Roman"/>
          <w:sz w:val="24"/>
          <w:szCs w:val="24"/>
          <w:lang w:val="lv"/>
        </w:rPr>
      </w:pPr>
      <w:r w:rsidRPr="00493755">
        <w:rPr>
          <w:rFonts w:eastAsia="Times New Roman" w:cs="Times New Roman"/>
          <w:sz w:val="24"/>
          <w:szCs w:val="24"/>
          <w:lang w:val="lv"/>
        </w:rPr>
        <w:t>Jāatzīmē, ka īpašumu atsavināšan</w:t>
      </w:r>
      <w:r w:rsidR="00F24536">
        <w:rPr>
          <w:rFonts w:eastAsia="Times New Roman" w:cs="Times New Roman"/>
          <w:sz w:val="24"/>
          <w:szCs w:val="24"/>
          <w:lang w:val="lv"/>
        </w:rPr>
        <w:t xml:space="preserve">u kavē iepriekš skaidrotie kavējumi </w:t>
      </w:r>
      <w:r w:rsidRPr="00493755">
        <w:rPr>
          <w:rFonts w:eastAsia="Times New Roman" w:cs="Times New Roman"/>
          <w:sz w:val="24"/>
          <w:szCs w:val="24"/>
          <w:lang w:val="lv"/>
        </w:rPr>
        <w:t>Rail Baltica trases projektēšan</w:t>
      </w:r>
      <w:r w:rsidR="00F24536">
        <w:rPr>
          <w:rFonts w:eastAsia="Times New Roman" w:cs="Times New Roman"/>
          <w:sz w:val="24"/>
          <w:szCs w:val="24"/>
          <w:lang w:val="lv"/>
        </w:rPr>
        <w:t>ā.</w:t>
      </w:r>
      <w:r w:rsidRPr="00493755">
        <w:rPr>
          <w:rFonts w:eastAsia="Times New Roman" w:cs="Times New Roman"/>
          <w:sz w:val="24"/>
          <w:szCs w:val="24"/>
          <w:lang w:val="lv"/>
        </w:rPr>
        <w:t xml:space="preserve"> </w:t>
      </w:r>
      <w:r w:rsidR="00F24536">
        <w:rPr>
          <w:rFonts w:eastAsia="Times New Roman" w:cs="Times New Roman"/>
          <w:sz w:val="24"/>
          <w:szCs w:val="24"/>
          <w:lang w:val="lv"/>
        </w:rPr>
        <w:t>Tā kā</w:t>
      </w:r>
      <w:r w:rsidRPr="00493755">
        <w:rPr>
          <w:rFonts w:eastAsia="Times New Roman" w:cs="Times New Roman"/>
          <w:sz w:val="24"/>
          <w:szCs w:val="24"/>
          <w:lang w:val="lv"/>
        </w:rPr>
        <w:t xml:space="preserve"> īpašumu atsavināšana noris vienlaicīgi, </w:t>
      </w:r>
      <w:r w:rsidR="00F24536">
        <w:rPr>
          <w:rFonts w:eastAsia="Times New Roman" w:cs="Times New Roman"/>
          <w:sz w:val="24"/>
          <w:szCs w:val="24"/>
          <w:lang w:val="lv"/>
        </w:rPr>
        <w:t>ar projektēšanu, projektētājam tiek prasīts</w:t>
      </w:r>
      <w:r w:rsidRPr="00493755">
        <w:rPr>
          <w:rFonts w:eastAsia="Times New Roman" w:cs="Times New Roman"/>
          <w:sz w:val="24"/>
          <w:szCs w:val="24"/>
          <w:lang w:val="lv"/>
        </w:rPr>
        <w:t xml:space="preserve"> </w:t>
      </w:r>
      <w:r w:rsidR="00F24536">
        <w:rPr>
          <w:rFonts w:eastAsia="Times New Roman" w:cs="Times New Roman"/>
          <w:sz w:val="24"/>
          <w:szCs w:val="24"/>
          <w:lang w:val="lv"/>
        </w:rPr>
        <w:t>sniegt</w:t>
      </w:r>
      <w:r w:rsidRPr="00493755">
        <w:rPr>
          <w:rFonts w:eastAsia="Times New Roman" w:cs="Times New Roman"/>
          <w:sz w:val="24"/>
          <w:szCs w:val="24"/>
          <w:lang w:val="lv"/>
        </w:rPr>
        <w:t xml:space="preserve"> </w:t>
      </w:r>
      <w:r w:rsidR="00F24536">
        <w:rPr>
          <w:rFonts w:eastAsia="Times New Roman" w:cs="Times New Roman"/>
          <w:sz w:val="24"/>
          <w:szCs w:val="24"/>
          <w:lang w:val="lv"/>
        </w:rPr>
        <w:t xml:space="preserve">pietiekami </w:t>
      </w:r>
      <w:r w:rsidRPr="00493755">
        <w:rPr>
          <w:rFonts w:eastAsia="Times New Roman" w:cs="Times New Roman"/>
          <w:sz w:val="24"/>
          <w:szCs w:val="24"/>
          <w:lang w:val="lv"/>
        </w:rPr>
        <w:t>prec</w:t>
      </w:r>
      <w:r w:rsidR="00F24536">
        <w:rPr>
          <w:rFonts w:eastAsia="Times New Roman" w:cs="Times New Roman"/>
          <w:sz w:val="24"/>
          <w:szCs w:val="24"/>
          <w:lang w:val="lv"/>
        </w:rPr>
        <w:t>ī</w:t>
      </w:r>
      <w:r w:rsidRPr="00493755">
        <w:rPr>
          <w:rFonts w:eastAsia="Times New Roman" w:cs="Times New Roman"/>
          <w:sz w:val="24"/>
          <w:szCs w:val="24"/>
          <w:lang w:val="lv"/>
        </w:rPr>
        <w:t>z</w:t>
      </w:r>
      <w:r w:rsidR="00F24536">
        <w:rPr>
          <w:rFonts w:eastAsia="Times New Roman" w:cs="Times New Roman"/>
          <w:sz w:val="24"/>
          <w:szCs w:val="24"/>
          <w:lang w:val="lv"/>
        </w:rPr>
        <w:t>us datus par atsavināmo īpašumu pirms projektēšanas risinājumu pilnas izstrādes</w:t>
      </w:r>
      <w:r w:rsidRPr="00493755">
        <w:rPr>
          <w:rFonts w:eastAsia="Times New Roman" w:cs="Times New Roman"/>
          <w:sz w:val="24"/>
          <w:szCs w:val="24"/>
          <w:lang w:val="lv"/>
        </w:rPr>
        <w:t xml:space="preserve">, lai atsavinātu precīzi to zemes daļu, kas nepieciešama projektam. </w:t>
      </w:r>
      <w:r w:rsidR="0024686F" w:rsidRPr="00493755">
        <w:rPr>
          <w:rFonts w:eastAsia="Times New Roman" w:cs="Times New Roman"/>
          <w:sz w:val="24"/>
          <w:szCs w:val="24"/>
          <w:lang w:val="lv"/>
        </w:rPr>
        <w:t>Vērā ņemams fakts ir arī tas, ka zemes kadastrālās uzmērīšanas un zemes ierīcības projektu izstrāde ir laikietilpīgs process (aptuveni seši mēneši).</w:t>
      </w:r>
      <w:r w:rsidR="0024686F">
        <w:rPr>
          <w:rFonts w:eastAsia="Times New Roman" w:cs="Times New Roman"/>
          <w:sz w:val="24"/>
          <w:szCs w:val="24"/>
          <w:lang w:val="lv"/>
        </w:rPr>
        <w:t xml:space="preserve"> </w:t>
      </w:r>
      <w:r w:rsidR="007D3BC7">
        <w:rPr>
          <w:rFonts w:eastAsia="Times New Roman" w:cs="Times New Roman"/>
          <w:sz w:val="24"/>
          <w:szCs w:val="24"/>
          <w:lang w:val="lv"/>
        </w:rPr>
        <w:t>Š</w:t>
      </w:r>
      <w:r w:rsidR="009D55C1">
        <w:rPr>
          <w:rFonts w:eastAsia="Times New Roman" w:cs="Times New Roman"/>
          <w:sz w:val="24"/>
          <w:szCs w:val="24"/>
          <w:lang w:val="lv"/>
        </w:rPr>
        <w:t>ī sasaiste starp projektēšanas</w:t>
      </w:r>
      <w:r w:rsidR="007D3BC7">
        <w:rPr>
          <w:rFonts w:eastAsia="Times New Roman" w:cs="Times New Roman"/>
          <w:sz w:val="24"/>
          <w:szCs w:val="24"/>
          <w:lang w:val="lv"/>
        </w:rPr>
        <w:t xml:space="preserve"> kavējumi</w:t>
      </w:r>
      <w:r w:rsidR="009D55C1">
        <w:rPr>
          <w:rFonts w:eastAsia="Times New Roman" w:cs="Times New Roman"/>
          <w:sz w:val="24"/>
          <w:szCs w:val="24"/>
          <w:lang w:val="lv"/>
        </w:rPr>
        <w:t>em</w:t>
      </w:r>
      <w:r w:rsidR="007D3BC7">
        <w:rPr>
          <w:rFonts w:eastAsia="Times New Roman" w:cs="Times New Roman"/>
          <w:sz w:val="24"/>
          <w:szCs w:val="24"/>
          <w:lang w:val="lv"/>
        </w:rPr>
        <w:t xml:space="preserve"> </w:t>
      </w:r>
      <w:r w:rsidR="009D55C1">
        <w:rPr>
          <w:rFonts w:eastAsia="Times New Roman" w:cs="Times New Roman"/>
          <w:sz w:val="24"/>
          <w:szCs w:val="24"/>
          <w:lang w:val="lv"/>
        </w:rPr>
        <w:t xml:space="preserve">un zemju atsavināšanu ir būtisks Projekta risks Latvijai. Lietuvā ir cita atsavināšanas procedūra, kas ir ļāvusi ļoti ātri atsavināt nepieciešamos īpašumus. Igaunijas progress arī ir labāks nekā Latvijai. </w:t>
      </w:r>
      <w:r w:rsidR="007D3BC7">
        <w:rPr>
          <w:rFonts w:eastAsia="Times New Roman" w:cs="Times New Roman"/>
          <w:sz w:val="24"/>
          <w:szCs w:val="24"/>
          <w:lang w:val="lv"/>
        </w:rPr>
        <w:t xml:space="preserve">Lai risinātu </w:t>
      </w:r>
      <w:r w:rsidR="009D55C1">
        <w:rPr>
          <w:rFonts w:eastAsia="Times New Roman" w:cs="Times New Roman"/>
          <w:sz w:val="24"/>
          <w:szCs w:val="24"/>
          <w:lang w:val="lv"/>
        </w:rPr>
        <w:t xml:space="preserve">šo situāciju, Ministrija plāno virzīt īpašus normatīvo regulējumu Rail Baltica būvniecības uzsākšanai zemē, uz kuru vēl nav nostiprinātas valsts īpašuma tiesības, bet ir uzsākts atsavināšanas process. Tā kā atsavināšanas process ir ļoti </w:t>
      </w:r>
      <w:r w:rsidR="00535B0E">
        <w:rPr>
          <w:rFonts w:eastAsia="Times New Roman" w:cs="Times New Roman"/>
          <w:sz w:val="24"/>
          <w:szCs w:val="24"/>
          <w:lang w:val="lv"/>
        </w:rPr>
        <w:t>ilgs</w:t>
      </w:r>
      <w:r w:rsidR="009D55C1">
        <w:rPr>
          <w:rFonts w:eastAsia="Times New Roman" w:cs="Times New Roman"/>
          <w:sz w:val="24"/>
          <w:szCs w:val="24"/>
          <w:lang w:val="lv"/>
        </w:rPr>
        <w:t xml:space="preserve"> </w:t>
      </w:r>
      <w:r w:rsidR="00535B0E">
        <w:rPr>
          <w:rFonts w:eastAsia="Times New Roman" w:cs="Times New Roman"/>
          <w:sz w:val="24"/>
          <w:szCs w:val="24"/>
          <w:lang w:val="lv"/>
        </w:rPr>
        <w:t>virknes</w:t>
      </w:r>
      <w:r w:rsidR="009D55C1">
        <w:rPr>
          <w:rFonts w:eastAsia="Times New Roman" w:cs="Times New Roman"/>
          <w:sz w:val="24"/>
          <w:szCs w:val="24"/>
          <w:lang w:val="lv"/>
        </w:rPr>
        <w:t xml:space="preserve"> formālo pro</w:t>
      </w:r>
      <w:r w:rsidR="00535B0E">
        <w:rPr>
          <w:rFonts w:eastAsia="Times New Roman" w:cs="Times New Roman"/>
          <w:sz w:val="24"/>
          <w:szCs w:val="24"/>
          <w:lang w:val="lv"/>
        </w:rPr>
        <w:t xml:space="preserve">cedūru dēļ, tad risinājums varētu būt īslaicīgs īpašnieka īpašumtiesību aprobežojums, kas paredz tiesības veikt Rail Baltica būvdarbus. Savukārt paralēli tiktu veikts atsavināšanas process. </w:t>
      </w:r>
      <w:r w:rsidR="00535B0E" w:rsidRPr="008961CF">
        <w:rPr>
          <w:rFonts w:eastAsia="Times New Roman" w:cs="Times New Roman"/>
          <w:b/>
          <w:bCs/>
          <w:sz w:val="24"/>
          <w:szCs w:val="24"/>
          <w:lang w:val="lv"/>
        </w:rPr>
        <w:t xml:space="preserve">Minētā pieeja no Ministrijas puses ir identificēta ar būtisku ietekmi uz Projekta paātrināšanu, </w:t>
      </w:r>
      <w:r w:rsidR="0024686F" w:rsidRPr="008961CF">
        <w:rPr>
          <w:rFonts w:eastAsia="Times New Roman" w:cs="Times New Roman"/>
          <w:b/>
          <w:bCs/>
          <w:sz w:val="24"/>
          <w:szCs w:val="24"/>
          <w:lang w:val="lv"/>
        </w:rPr>
        <w:t xml:space="preserve">būvniecības procesa un izmaksu </w:t>
      </w:r>
      <w:proofErr w:type="spellStart"/>
      <w:r w:rsidR="0024686F" w:rsidRPr="008961CF">
        <w:rPr>
          <w:rFonts w:eastAsia="Times New Roman" w:cs="Times New Roman"/>
          <w:b/>
          <w:bCs/>
          <w:sz w:val="24"/>
          <w:szCs w:val="24"/>
          <w:lang w:val="lv"/>
        </w:rPr>
        <w:t>efektivizēšanu</w:t>
      </w:r>
      <w:proofErr w:type="spellEnd"/>
      <w:r w:rsidR="0024686F" w:rsidRPr="008961CF">
        <w:rPr>
          <w:rFonts w:eastAsia="Times New Roman" w:cs="Times New Roman"/>
          <w:b/>
          <w:bCs/>
          <w:sz w:val="24"/>
          <w:szCs w:val="24"/>
          <w:lang w:val="lv"/>
        </w:rPr>
        <w:t>, kā arī uzlabotu Projekta brieduma nosacījumu izpildi, kas tieši ietekmē Latvijas pieprasījuma pamatojumu CEF finansējuma piesaistei.</w:t>
      </w:r>
      <w:r w:rsidR="0024686F">
        <w:rPr>
          <w:rFonts w:eastAsia="Times New Roman" w:cs="Times New Roman"/>
          <w:sz w:val="24"/>
          <w:szCs w:val="24"/>
          <w:lang w:val="lv"/>
        </w:rPr>
        <w:t xml:space="preserve"> Šajā sakarā tuvākajā laikā varētu tikt veidota īpaša darba grupa, lai </w:t>
      </w:r>
      <w:r w:rsidR="0024686F">
        <w:rPr>
          <w:rFonts w:eastAsia="Times New Roman" w:cs="Times New Roman"/>
          <w:sz w:val="24"/>
          <w:szCs w:val="24"/>
          <w:lang w:val="lv"/>
        </w:rPr>
        <w:lastRenderedPageBreak/>
        <w:t xml:space="preserve">izstrādātu Satversmei atbilstošu tiesisko ietvaru. Jāvērš uzmanība, ka līdzīga procedūra ir ietverta nesen pieņemtajā </w:t>
      </w:r>
      <w:r w:rsidR="0024686F" w:rsidRPr="0024686F">
        <w:rPr>
          <w:rFonts w:eastAsia="Times New Roman" w:cs="Times New Roman"/>
          <w:sz w:val="24"/>
          <w:szCs w:val="24"/>
          <w:lang w:val="lv"/>
        </w:rPr>
        <w:t>Ārējās sauszemes robežas infrastruktūras izbūves likum</w:t>
      </w:r>
      <w:r w:rsidR="0024686F">
        <w:rPr>
          <w:rFonts w:eastAsia="Times New Roman" w:cs="Times New Roman"/>
          <w:sz w:val="24"/>
          <w:szCs w:val="24"/>
          <w:lang w:val="lv"/>
        </w:rPr>
        <w:t xml:space="preserve">ā. </w:t>
      </w:r>
    </w:p>
    <w:p w14:paraId="4F514266" w14:textId="1BE47D47" w:rsidR="00050737" w:rsidRPr="00493755" w:rsidRDefault="3606186A" w:rsidP="006A710E">
      <w:pPr>
        <w:tabs>
          <w:tab w:val="left" w:pos="993"/>
        </w:tabs>
        <w:spacing w:after="0" w:line="240" w:lineRule="auto"/>
        <w:ind w:firstLine="709"/>
        <w:contextualSpacing/>
        <w:jc w:val="both"/>
        <w:rPr>
          <w:rFonts w:eastAsia="Times New Roman" w:cs="Times New Roman"/>
          <w:sz w:val="24"/>
          <w:szCs w:val="24"/>
          <w:lang w:val="lv"/>
        </w:rPr>
      </w:pPr>
      <w:r w:rsidRPr="00493755">
        <w:rPr>
          <w:rFonts w:eastAsia="Times New Roman" w:cs="Times New Roman"/>
          <w:sz w:val="24"/>
          <w:szCs w:val="24"/>
          <w:lang w:val="lv"/>
        </w:rPr>
        <w:t>Būtiski atzīmēt, ka nākotnē, palielinoties atsavināmo īpašumu skaitam, dažādās valsts un pašvaldību institūcijās iespējams kapacitātes trūkums atzinumu, viedokļa sniegšanai, piemēram, vietējās pašvaldības viedoklis par atlikušās zemesgabala daļas atbilstību teritorijas plānojumam (ja tiek atsavināta zemesgabala daļa). Līdz ar to minētais kapacitātes trūkums arī var būtiski kavēt īpašumu atsavināšanas procesa virzību.</w:t>
      </w:r>
    </w:p>
    <w:p w14:paraId="25761571" w14:textId="0525D684" w:rsidR="00050737" w:rsidRPr="00493755" w:rsidRDefault="006A710E" w:rsidP="006A710E">
      <w:pPr>
        <w:tabs>
          <w:tab w:val="left" w:pos="709"/>
        </w:tabs>
        <w:spacing w:before="120" w:line="240" w:lineRule="auto"/>
        <w:contextualSpacing/>
        <w:jc w:val="both"/>
        <w:rPr>
          <w:rFonts w:cs="Times New Roman"/>
          <w:sz w:val="24"/>
          <w:szCs w:val="24"/>
        </w:rPr>
      </w:pPr>
      <w:r w:rsidRPr="00493755">
        <w:rPr>
          <w:rFonts w:cs="Times New Roman"/>
          <w:color w:val="FF0000"/>
          <w:sz w:val="22"/>
        </w:rPr>
        <w:tab/>
      </w:r>
      <w:r w:rsidR="740B051A" w:rsidRPr="00493755">
        <w:rPr>
          <w:rFonts w:cs="Times New Roman"/>
          <w:sz w:val="24"/>
          <w:szCs w:val="24"/>
        </w:rPr>
        <w:t>Nekustamo īpašumu atsavināšanas plāns 2022.-2026.</w:t>
      </w:r>
      <w:r w:rsidRPr="00493755">
        <w:rPr>
          <w:rFonts w:cs="Times New Roman"/>
          <w:sz w:val="24"/>
          <w:szCs w:val="24"/>
        </w:rPr>
        <w:t> </w:t>
      </w:r>
      <w:r w:rsidR="740B051A" w:rsidRPr="00493755">
        <w:rPr>
          <w:rFonts w:cs="Times New Roman"/>
          <w:sz w:val="24"/>
          <w:szCs w:val="24"/>
        </w:rPr>
        <w:t xml:space="preserve">gadam atspoguļots </w:t>
      </w:r>
      <w:r w:rsidR="7337D2FE" w:rsidRPr="00493755">
        <w:rPr>
          <w:rFonts w:cs="Times New Roman"/>
          <w:sz w:val="24"/>
          <w:szCs w:val="24"/>
        </w:rPr>
        <w:t>5.</w:t>
      </w:r>
      <w:r w:rsidRPr="00493755">
        <w:rPr>
          <w:rFonts w:cs="Times New Roman"/>
          <w:sz w:val="24"/>
          <w:szCs w:val="24"/>
        </w:rPr>
        <w:t> </w:t>
      </w:r>
      <w:r w:rsidR="7337D2FE" w:rsidRPr="00493755">
        <w:rPr>
          <w:rFonts w:cs="Times New Roman"/>
          <w:sz w:val="24"/>
          <w:szCs w:val="24"/>
        </w:rPr>
        <w:t>tabulā.</w:t>
      </w:r>
    </w:p>
    <w:p w14:paraId="1EE5BDDA" w14:textId="77777777" w:rsidR="006A710E" w:rsidRPr="00493755" w:rsidRDefault="006A710E" w:rsidP="006A710E">
      <w:pPr>
        <w:tabs>
          <w:tab w:val="left" w:pos="993"/>
        </w:tabs>
        <w:spacing w:before="120" w:line="240" w:lineRule="auto"/>
        <w:contextualSpacing/>
        <w:jc w:val="both"/>
        <w:rPr>
          <w:rFonts w:cs="Times New Roman"/>
          <w:sz w:val="24"/>
          <w:szCs w:val="24"/>
        </w:rPr>
      </w:pPr>
    </w:p>
    <w:p w14:paraId="0D2DBE61" w14:textId="2128A825" w:rsidR="006D72D7" w:rsidRDefault="401B4578" w:rsidP="00B56F69">
      <w:pPr>
        <w:tabs>
          <w:tab w:val="left" w:pos="993"/>
        </w:tabs>
        <w:spacing w:before="120"/>
        <w:contextualSpacing/>
        <w:jc w:val="right"/>
        <w:rPr>
          <w:rFonts w:cs="Times New Roman"/>
          <w:sz w:val="20"/>
          <w:szCs w:val="20"/>
        </w:rPr>
      </w:pPr>
      <w:r w:rsidRPr="00493755">
        <w:rPr>
          <w:rFonts w:cs="Times New Roman"/>
          <w:sz w:val="20"/>
          <w:szCs w:val="20"/>
        </w:rPr>
        <w:t xml:space="preserve">5.tabula Nekustamo īpašumu atsavināšanas plāns </w:t>
      </w:r>
      <w:r w:rsidR="2A1A94EF" w:rsidRPr="00493755">
        <w:rPr>
          <w:rFonts w:cs="Times New Roman"/>
          <w:sz w:val="20"/>
          <w:szCs w:val="20"/>
        </w:rPr>
        <w:t>2022.-2026.gadam</w:t>
      </w:r>
    </w:p>
    <w:tbl>
      <w:tblPr>
        <w:tblW w:w="8780" w:type="dxa"/>
        <w:tblLook w:val="04A0" w:firstRow="1" w:lastRow="0" w:firstColumn="1" w:lastColumn="0" w:noHBand="0" w:noVBand="1"/>
      </w:tblPr>
      <w:tblGrid>
        <w:gridCol w:w="1504"/>
        <w:gridCol w:w="1211"/>
        <w:gridCol w:w="1213"/>
        <w:gridCol w:w="1213"/>
        <w:gridCol w:w="1213"/>
        <w:gridCol w:w="1213"/>
        <w:gridCol w:w="1213"/>
      </w:tblGrid>
      <w:tr w:rsidR="000E261B" w:rsidRPr="000E261B" w14:paraId="5E80F6BB" w14:textId="77777777" w:rsidTr="000E261B">
        <w:trPr>
          <w:trHeight w:val="277"/>
        </w:trPr>
        <w:tc>
          <w:tcPr>
            <w:tcW w:w="15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B66907"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 </w:t>
            </w:r>
          </w:p>
        </w:tc>
        <w:tc>
          <w:tcPr>
            <w:tcW w:w="1211" w:type="dxa"/>
            <w:tcBorders>
              <w:top w:val="single" w:sz="8" w:space="0" w:color="auto"/>
              <w:left w:val="nil"/>
              <w:bottom w:val="single" w:sz="8" w:space="0" w:color="auto"/>
              <w:right w:val="single" w:sz="8" w:space="0" w:color="auto"/>
            </w:tcBorders>
            <w:shd w:val="clear" w:color="auto" w:fill="auto"/>
            <w:vAlign w:val="center"/>
            <w:hideMark/>
          </w:tcPr>
          <w:p w14:paraId="6FE7F50D"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2022</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14:paraId="30B0E6D0"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2023</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14:paraId="0D939368"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2024</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14:paraId="718AA816"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2025</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14:paraId="6F5F53BE"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2026</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14:paraId="371C94B0"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Kopā</w:t>
            </w:r>
          </w:p>
        </w:tc>
      </w:tr>
      <w:tr w:rsidR="000E261B" w:rsidRPr="000E261B" w14:paraId="106AF10B" w14:textId="77777777" w:rsidTr="000E261B">
        <w:trPr>
          <w:trHeight w:val="730"/>
        </w:trPr>
        <w:tc>
          <w:tcPr>
            <w:tcW w:w="1504" w:type="dxa"/>
            <w:tcBorders>
              <w:top w:val="nil"/>
              <w:left w:val="single" w:sz="8" w:space="0" w:color="auto"/>
              <w:bottom w:val="single" w:sz="8" w:space="0" w:color="auto"/>
              <w:right w:val="single" w:sz="8" w:space="0" w:color="auto"/>
            </w:tcBorders>
            <w:shd w:val="clear" w:color="auto" w:fill="auto"/>
            <w:vAlign w:val="center"/>
            <w:hideMark/>
          </w:tcPr>
          <w:p w14:paraId="14865920"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Publisko personu īpašumi</w:t>
            </w:r>
          </w:p>
        </w:tc>
        <w:tc>
          <w:tcPr>
            <w:tcW w:w="1211" w:type="dxa"/>
            <w:tcBorders>
              <w:top w:val="nil"/>
              <w:left w:val="nil"/>
              <w:bottom w:val="single" w:sz="8" w:space="0" w:color="auto"/>
              <w:right w:val="single" w:sz="8" w:space="0" w:color="auto"/>
            </w:tcBorders>
            <w:shd w:val="clear" w:color="auto" w:fill="auto"/>
            <w:vAlign w:val="center"/>
            <w:hideMark/>
          </w:tcPr>
          <w:p w14:paraId="0115D767"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18</w:t>
            </w:r>
          </w:p>
        </w:tc>
        <w:tc>
          <w:tcPr>
            <w:tcW w:w="1213" w:type="dxa"/>
            <w:tcBorders>
              <w:top w:val="nil"/>
              <w:left w:val="nil"/>
              <w:bottom w:val="single" w:sz="8" w:space="0" w:color="auto"/>
              <w:right w:val="single" w:sz="8" w:space="0" w:color="auto"/>
            </w:tcBorders>
            <w:shd w:val="clear" w:color="auto" w:fill="auto"/>
            <w:vAlign w:val="center"/>
            <w:hideMark/>
          </w:tcPr>
          <w:p w14:paraId="3DF5356D"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146</w:t>
            </w:r>
          </w:p>
        </w:tc>
        <w:tc>
          <w:tcPr>
            <w:tcW w:w="1213" w:type="dxa"/>
            <w:tcBorders>
              <w:top w:val="nil"/>
              <w:left w:val="nil"/>
              <w:bottom w:val="single" w:sz="8" w:space="0" w:color="auto"/>
              <w:right w:val="single" w:sz="8" w:space="0" w:color="auto"/>
            </w:tcBorders>
            <w:shd w:val="clear" w:color="auto" w:fill="auto"/>
            <w:vAlign w:val="center"/>
            <w:hideMark/>
          </w:tcPr>
          <w:p w14:paraId="030F7A7B"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19</w:t>
            </w:r>
          </w:p>
        </w:tc>
        <w:tc>
          <w:tcPr>
            <w:tcW w:w="1213" w:type="dxa"/>
            <w:tcBorders>
              <w:top w:val="nil"/>
              <w:left w:val="nil"/>
              <w:bottom w:val="single" w:sz="8" w:space="0" w:color="auto"/>
              <w:right w:val="single" w:sz="8" w:space="0" w:color="auto"/>
            </w:tcBorders>
            <w:shd w:val="clear" w:color="auto" w:fill="auto"/>
            <w:vAlign w:val="center"/>
            <w:hideMark/>
          </w:tcPr>
          <w:p w14:paraId="03DA847F"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392</w:t>
            </w:r>
          </w:p>
        </w:tc>
        <w:tc>
          <w:tcPr>
            <w:tcW w:w="1213" w:type="dxa"/>
            <w:tcBorders>
              <w:top w:val="nil"/>
              <w:left w:val="nil"/>
              <w:bottom w:val="single" w:sz="8" w:space="0" w:color="auto"/>
              <w:right w:val="single" w:sz="8" w:space="0" w:color="auto"/>
            </w:tcBorders>
            <w:shd w:val="clear" w:color="auto" w:fill="auto"/>
            <w:vAlign w:val="center"/>
            <w:hideMark/>
          </w:tcPr>
          <w:p w14:paraId="7119BE5F"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w:t>
            </w:r>
          </w:p>
        </w:tc>
        <w:tc>
          <w:tcPr>
            <w:tcW w:w="1213" w:type="dxa"/>
            <w:tcBorders>
              <w:top w:val="nil"/>
              <w:left w:val="nil"/>
              <w:bottom w:val="single" w:sz="8" w:space="0" w:color="auto"/>
              <w:right w:val="single" w:sz="8" w:space="0" w:color="auto"/>
            </w:tcBorders>
            <w:shd w:val="clear" w:color="auto" w:fill="auto"/>
            <w:vAlign w:val="center"/>
            <w:hideMark/>
          </w:tcPr>
          <w:p w14:paraId="03A9493A"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575</w:t>
            </w:r>
          </w:p>
        </w:tc>
      </w:tr>
      <w:tr w:rsidR="000E261B" w:rsidRPr="000E261B" w14:paraId="68B1CC29" w14:textId="77777777" w:rsidTr="000E261B">
        <w:trPr>
          <w:trHeight w:val="730"/>
        </w:trPr>
        <w:tc>
          <w:tcPr>
            <w:tcW w:w="1504" w:type="dxa"/>
            <w:tcBorders>
              <w:top w:val="nil"/>
              <w:left w:val="single" w:sz="8" w:space="0" w:color="auto"/>
              <w:bottom w:val="single" w:sz="8" w:space="0" w:color="auto"/>
              <w:right w:val="single" w:sz="8" w:space="0" w:color="auto"/>
            </w:tcBorders>
            <w:shd w:val="clear" w:color="auto" w:fill="auto"/>
            <w:vAlign w:val="center"/>
            <w:hideMark/>
          </w:tcPr>
          <w:p w14:paraId="71ADE499"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Privāto personu īpašumi</w:t>
            </w:r>
          </w:p>
        </w:tc>
        <w:tc>
          <w:tcPr>
            <w:tcW w:w="1211" w:type="dxa"/>
            <w:tcBorders>
              <w:top w:val="nil"/>
              <w:left w:val="nil"/>
              <w:bottom w:val="single" w:sz="8" w:space="0" w:color="auto"/>
              <w:right w:val="single" w:sz="8" w:space="0" w:color="auto"/>
            </w:tcBorders>
            <w:shd w:val="clear" w:color="auto" w:fill="auto"/>
            <w:vAlign w:val="center"/>
            <w:hideMark/>
          </w:tcPr>
          <w:p w14:paraId="3727A4DD"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26</w:t>
            </w:r>
          </w:p>
        </w:tc>
        <w:tc>
          <w:tcPr>
            <w:tcW w:w="1213" w:type="dxa"/>
            <w:tcBorders>
              <w:top w:val="nil"/>
              <w:left w:val="nil"/>
              <w:bottom w:val="single" w:sz="8" w:space="0" w:color="auto"/>
              <w:right w:val="single" w:sz="8" w:space="0" w:color="auto"/>
            </w:tcBorders>
            <w:shd w:val="clear" w:color="auto" w:fill="auto"/>
            <w:vAlign w:val="center"/>
            <w:hideMark/>
          </w:tcPr>
          <w:p w14:paraId="06EC7FB1"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50</w:t>
            </w:r>
          </w:p>
        </w:tc>
        <w:tc>
          <w:tcPr>
            <w:tcW w:w="1213" w:type="dxa"/>
            <w:tcBorders>
              <w:top w:val="nil"/>
              <w:left w:val="nil"/>
              <w:bottom w:val="single" w:sz="8" w:space="0" w:color="auto"/>
              <w:right w:val="single" w:sz="8" w:space="0" w:color="auto"/>
            </w:tcBorders>
            <w:shd w:val="clear" w:color="auto" w:fill="auto"/>
            <w:vAlign w:val="center"/>
            <w:hideMark/>
          </w:tcPr>
          <w:p w14:paraId="39EB4EC4"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366</w:t>
            </w:r>
          </w:p>
        </w:tc>
        <w:tc>
          <w:tcPr>
            <w:tcW w:w="1213" w:type="dxa"/>
            <w:tcBorders>
              <w:top w:val="nil"/>
              <w:left w:val="nil"/>
              <w:bottom w:val="single" w:sz="8" w:space="0" w:color="auto"/>
              <w:right w:val="single" w:sz="8" w:space="0" w:color="auto"/>
            </w:tcBorders>
            <w:shd w:val="clear" w:color="auto" w:fill="auto"/>
            <w:vAlign w:val="center"/>
            <w:hideMark/>
          </w:tcPr>
          <w:p w14:paraId="13398827"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395</w:t>
            </w:r>
          </w:p>
        </w:tc>
        <w:tc>
          <w:tcPr>
            <w:tcW w:w="1213" w:type="dxa"/>
            <w:tcBorders>
              <w:top w:val="nil"/>
              <w:left w:val="nil"/>
              <w:bottom w:val="single" w:sz="8" w:space="0" w:color="auto"/>
              <w:right w:val="single" w:sz="8" w:space="0" w:color="auto"/>
            </w:tcBorders>
            <w:shd w:val="clear" w:color="auto" w:fill="auto"/>
            <w:vAlign w:val="center"/>
            <w:hideMark/>
          </w:tcPr>
          <w:p w14:paraId="2128F691"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183</w:t>
            </w:r>
          </w:p>
        </w:tc>
        <w:tc>
          <w:tcPr>
            <w:tcW w:w="1213" w:type="dxa"/>
            <w:tcBorders>
              <w:top w:val="nil"/>
              <w:left w:val="nil"/>
              <w:bottom w:val="single" w:sz="8" w:space="0" w:color="auto"/>
              <w:right w:val="single" w:sz="8" w:space="0" w:color="auto"/>
            </w:tcBorders>
            <w:shd w:val="clear" w:color="auto" w:fill="auto"/>
            <w:vAlign w:val="center"/>
            <w:hideMark/>
          </w:tcPr>
          <w:p w14:paraId="3B87ED92"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1020</w:t>
            </w:r>
          </w:p>
        </w:tc>
      </w:tr>
      <w:tr w:rsidR="000E261B" w:rsidRPr="000E261B" w14:paraId="72203F1E" w14:textId="77777777" w:rsidTr="000E261B">
        <w:trPr>
          <w:trHeight w:val="490"/>
        </w:trPr>
        <w:tc>
          <w:tcPr>
            <w:tcW w:w="1504" w:type="dxa"/>
            <w:tcBorders>
              <w:top w:val="nil"/>
              <w:left w:val="single" w:sz="8" w:space="0" w:color="auto"/>
              <w:bottom w:val="single" w:sz="8" w:space="0" w:color="auto"/>
              <w:right w:val="single" w:sz="8" w:space="0" w:color="auto"/>
            </w:tcBorders>
            <w:shd w:val="clear" w:color="auto" w:fill="auto"/>
            <w:vAlign w:val="center"/>
            <w:hideMark/>
          </w:tcPr>
          <w:p w14:paraId="07F21DBC"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Īpašumi kopā, gadā</w:t>
            </w:r>
          </w:p>
        </w:tc>
        <w:tc>
          <w:tcPr>
            <w:tcW w:w="1211" w:type="dxa"/>
            <w:tcBorders>
              <w:top w:val="nil"/>
              <w:left w:val="nil"/>
              <w:bottom w:val="single" w:sz="8" w:space="0" w:color="auto"/>
              <w:right w:val="single" w:sz="8" w:space="0" w:color="auto"/>
            </w:tcBorders>
            <w:shd w:val="clear" w:color="auto" w:fill="auto"/>
            <w:vAlign w:val="center"/>
            <w:hideMark/>
          </w:tcPr>
          <w:p w14:paraId="6E6B6ACB"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44</w:t>
            </w:r>
          </w:p>
        </w:tc>
        <w:tc>
          <w:tcPr>
            <w:tcW w:w="1213" w:type="dxa"/>
            <w:tcBorders>
              <w:top w:val="nil"/>
              <w:left w:val="nil"/>
              <w:bottom w:val="single" w:sz="8" w:space="0" w:color="auto"/>
              <w:right w:val="single" w:sz="8" w:space="0" w:color="auto"/>
            </w:tcBorders>
            <w:shd w:val="clear" w:color="auto" w:fill="auto"/>
            <w:vAlign w:val="center"/>
            <w:hideMark/>
          </w:tcPr>
          <w:p w14:paraId="29ECE21D"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196</w:t>
            </w:r>
          </w:p>
        </w:tc>
        <w:tc>
          <w:tcPr>
            <w:tcW w:w="1213" w:type="dxa"/>
            <w:tcBorders>
              <w:top w:val="nil"/>
              <w:left w:val="nil"/>
              <w:bottom w:val="single" w:sz="8" w:space="0" w:color="auto"/>
              <w:right w:val="single" w:sz="8" w:space="0" w:color="auto"/>
            </w:tcBorders>
            <w:shd w:val="clear" w:color="auto" w:fill="auto"/>
            <w:vAlign w:val="center"/>
            <w:hideMark/>
          </w:tcPr>
          <w:p w14:paraId="7FAB2974"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385</w:t>
            </w:r>
          </w:p>
        </w:tc>
        <w:tc>
          <w:tcPr>
            <w:tcW w:w="1213" w:type="dxa"/>
            <w:tcBorders>
              <w:top w:val="nil"/>
              <w:left w:val="nil"/>
              <w:bottom w:val="single" w:sz="8" w:space="0" w:color="auto"/>
              <w:right w:val="single" w:sz="8" w:space="0" w:color="auto"/>
            </w:tcBorders>
            <w:shd w:val="clear" w:color="auto" w:fill="auto"/>
            <w:vAlign w:val="center"/>
            <w:hideMark/>
          </w:tcPr>
          <w:p w14:paraId="64624CD0"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787</w:t>
            </w:r>
          </w:p>
        </w:tc>
        <w:tc>
          <w:tcPr>
            <w:tcW w:w="1213" w:type="dxa"/>
            <w:tcBorders>
              <w:top w:val="nil"/>
              <w:left w:val="nil"/>
              <w:bottom w:val="single" w:sz="8" w:space="0" w:color="auto"/>
              <w:right w:val="single" w:sz="8" w:space="0" w:color="auto"/>
            </w:tcBorders>
            <w:shd w:val="clear" w:color="auto" w:fill="auto"/>
            <w:vAlign w:val="center"/>
            <w:hideMark/>
          </w:tcPr>
          <w:p w14:paraId="2A29A334"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183</w:t>
            </w:r>
          </w:p>
        </w:tc>
        <w:tc>
          <w:tcPr>
            <w:tcW w:w="1213" w:type="dxa"/>
            <w:tcBorders>
              <w:top w:val="nil"/>
              <w:left w:val="nil"/>
              <w:bottom w:val="single" w:sz="8" w:space="0" w:color="auto"/>
              <w:right w:val="single" w:sz="8" w:space="0" w:color="auto"/>
            </w:tcBorders>
            <w:shd w:val="clear" w:color="auto" w:fill="auto"/>
            <w:vAlign w:val="center"/>
            <w:hideMark/>
          </w:tcPr>
          <w:p w14:paraId="1A66BAFD"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1595</w:t>
            </w:r>
          </w:p>
        </w:tc>
      </w:tr>
      <w:tr w:rsidR="000E261B" w:rsidRPr="000E261B" w14:paraId="5C2549F7" w14:textId="77777777" w:rsidTr="000E261B">
        <w:trPr>
          <w:trHeight w:val="971"/>
        </w:trPr>
        <w:tc>
          <w:tcPr>
            <w:tcW w:w="1504" w:type="dxa"/>
            <w:tcBorders>
              <w:top w:val="nil"/>
              <w:left w:val="single" w:sz="8" w:space="0" w:color="auto"/>
              <w:bottom w:val="single" w:sz="8" w:space="0" w:color="auto"/>
              <w:right w:val="single" w:sz="8" w:space="0" w:color="auto"/>
            </w:tcBorders>
            <w:shd w:val="clear" w:color="auto" w:fill="auto"/>
            <w:vAlign w:val="center"/>
            <w:hideMark/>
          </w:tcPr>
          <w:p w14:paraId="5A225F7A"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Īpašumi kopā, kumulatīvi*</w:t>
            </w:r>
          </w:p>
        </w:tc>
        <w:tc>
          <w:tcPr>
            <w:tcW w:w="1211" w:type="dxa"/>
            <w:tcBorders>
              <w:top w:val="nil"/>
              <w:left w:val="nil"/>
              <w:bottom w:val="single" w:sz="8" w:space="0" w:color="auto"/>
              <w:right w:val="single" w:sz="8" w:space="0" w:color="auto"/>
            </w:tcBorders>
            <w:shd w:val="clear" w:color="auto" w:fill="auto"/>
            <w:vAlign w:val="center"/>
            <w:hideMark/>
          </w:tcPr>
          <w:p w14:paraId="73B5B5A4"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165</w:t>
            </w:r>
          </w:p>
        </w:tc>
        <w:tc>
          <w:tcPr>
            <w:tcW w:w="1213" w:type="dxa"/>
            <w:tcBorders>
              <w:top w:val="nil"/>
              <w:left w:val="nil"/>
              <w:bottom w:val="single" w:sz="8" w:space="0" w:color="auto"/>
              <w:right w:val="single" w:sz="8" w:space="0" w:color="auto"/>
            </w:tcBorders>
            <w:shd w:val="clear" w:color="auto" w:fill="auto"/>
            <w:vAlign w:val="center"/>
            <w:hideMark/>
          </w:tcPr>
          <w:p w14:paraId="1D064B1E"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361</w:t>
            </w:r>
          </w:p>
        </w:tc>
        <w:tc>
          <w:tcPr>
            <w:tcW w:w="1213" w:type="dxa"/>
            <w:tcBorders>
              <w:top w:val="nil"/>
              <w:left w:val="nil"/>
              <w:bottom w:val="single" w:sz="8" w:space="0" w:color="auto"/>
              <w:right w:val="single" w:sz="8" w:space="0" w:color="auto"/>
            </w:tcBorders>
            <w:shd w:val="clear" w:color="auto" w:fill="auto"/>
            <w:vAlign w:val="center"/>
            <w:hideMark/>
          </w:tcPr>
          <w:p w14:paraId="157C7F2A"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746</w:t>
            </w:r>
          </w:p>
        </w:tc>
        <w:tc>
          <w:tcPr>
            <w:tcW w:w="1213" w:type="dxa"/>
            <w:tcBorders>
              <w:top w:val="nil"/>
              <w:left w:val="nil"/>
              <w:bottom w:val="single" w:sz="8" w:space="0" w:color="auto"/>
              <w:right w:val="single" w:sz="8" w:space="0" w:color="auto"/>
            </w:tcBorders>
            <w:shd w:val="clear" w:color="auto" w:fill="auto"/>
            <w:vAlign w:val="center"/>
            <w:hideMark/>
          </w:tcPr>
          <w:p w14:paraId="642729C0"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1533</w:t>
            </w:r>
          </w:p>
        </w:tc>
        <w:tc>
          <w:tcPr>
            <w:tcW w:w="1213" w:type="dxa"/>
            <w:tcBorders>
              <w:top w:val="nil"/>
              <w:left w:val="nil"/>
              <w:bottom w:val="single" w:sz="8" w:space="0" w:color="auto"/>
              <w:right w:val="single" w:sz="8" w:space="0" w:color="auto"/>
            </w:tcBorders>
            <w:shd w:val="clear" w:color="auto" w:fill="auto"/>
            <w:vAlign w:val="center"/>
            <w:hideMark/>
          </w:tcPr>
          <w:p w14:paraId="4D798D21"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1716</w:t>
            </w:r>
          </w:p>
        </w:tc>
        <w:tc>
          <w:tcPr>
            <w:tcW w:w="1213" w:type="dxa"/>
            <w:tcBorders>
              <w:top w:val="nil"/>
              <w:left w:val="nil"/>
              <w:bottom w:val="single" w:sz="8" w:space="0" w:color="auto"/>
              <w:right w:val="single" w:sz="8" w:space="0" w:color="auto"/>
            </w:tcBorders>
            <w:shd w:val="clear" w:color="auto" w:fill="auto"/>
            <w:vAlign w:val="center"/>
            <w:hideMark/>
          </w:tcPr>
          <w:p w14:paraId="4B2817C9" w14:textId="77777777" w:rsidR="000E261B" w:rsidRPr="000E261B" w:rsidRDefault="000E261B" w:rsidP="000E261B">
            <w:pPr>
              <w:spacing w:after="0" w:line="240" w:lineRule="auto"/>
              <w:jc w:val="center"/>
              <w:rPr>
                <w:rFonts w:eastAsia="Times New Roman" w:cs="Times New Roman"/>
                <w:color w:val="000000"/>
                <w:sz w:val="20"/>
                <w:szCs w:val="20"/>
                <w:lang w:val="en-GB" w:eastAsia="en-GB"/>
              </w:rPr>
            </w:pPr>
            <w:r w:rsidRPr="000E261B">
              <w:rPr>
                <w:rFonts w:eastAsia="Times New Roman" w:cs="Times New Roman"/>
                <w:color w:val="000000"/>
                <w:sz w:val="20"/>
                <w:szCs w:val="20"/>
                <w:lang w:eastAsia="en-GB"/>
              </w:rPr>
              <w:t> </w:t>
            </w:r>
          </w:p>
        </w:tc>
      </w:tr>
    </w:tbl>
    <w:p w14:paraId="422E59C6" w14:textId="77777777" w:rsidR="00483417" w:rsidRPr="00493755" w:rsidRDefault="00483417" w:rsidP="00B56F69">
      <w:pPr>
        <w:tabs>
          <w:tab w:val="left" w:pos="993"/>
        </w:tabs>
        <w:spacing w:before="120"/>
        <w:contextualSpacing/>
        <w:jc w:val="right"/>
        <w:rPr>
          <w:rFonts w:cs="Times New Roman"/>
          <w:sz w:val="20"/>
          <w:szCs w:val="20"/>
        </w:rPr>
      </w:pPr>
    </w:p>
    <w:p w14:paraId="76A83C2E" w14:textId="3FF48707" w:rsidR="00510F0A" w:rsidRPr="00493755" w:rsidRDefault="55A86C27" w:rsidP="006F06E8">
      <w:pPr>
        <w:tabs>
          <w:tab w:val="left" w:pos="993"/>
        </w:tabs>
        <w:spacing w:before="120"/>
        <w:contextualSpacing/>
        <w:rPr>
          <w:rFonts w:cs="Times New Roman"/>
          <w:sz w:val="22"/>
        </w:rPr>
      </w:pPr>
      <w:r w:rsidRPr="00493755">
        <w:rPr>
          <w:rFonts w:cs="Times New Roman"/>
          <w:sz w:val="22"/>
        </w:rPr>
        <w:t>*</w:t>
      </w:r>
      <w:r w:rsidRPr="00493755">
        <w:rPr>
          <w:rFonts w:cs="Times New Roman"/>
          <w:sz w:val="20"/>
          <w:szCs w:val="20"/>
        </w:rPr>
        <w:t xml:space="preserve">Kopā ar </w:t>
      </w:r>
      <w:r w:rsidR="4E18956D" w:rsidRPr="00493755">
        <w:rPr>
          <w:rFonts w:cs="Times New Roman"/>
          <w:sz w:val="20"/>
          <w:szCs w:val="20"/>
        </w:rPr>
        <w:t>2019.-2021.</w:t>
      </w:r>
      <w:r w:rsidR="006A710E" w:rsidRPr="00493755">
        <w:rPr>
          <w:rFonts w:cs="Times New Roman"/>
          <w:sz w:val="20"/>
          <w:szCs w:val="20"/>
        </w:rPr>
        <w:t> </w:t>
      </w:r>
      <w:r w:rsidR="4E18956D" w:rsidRPr="00493755">
        <w:rPr>
          <w:rFonts w:cs="Times New Roman"/>
          <w:sz w:val="20"/>
          <w:szCs w:val="20"/>
        </w:rPr>
        <w:t xml:space="preserve">gadā </w:t>
      </w:r>
      <w:r w:rsidR="21EBFEF8" w:rsidRPr="00493755">
        <w:rPr>
          <w:rFonts w:cs="Times New Roman"/>
          <w:sz w:val="20"/>
          <w:szCs w:val="20"/>
        </w:rPr>
        <w:t>atsavinātajiem</w:t>
      </w:r>
      <w:r w:rsidR="4E18956D" w:rsidRPr="00493755">
        <w:rPr>
          <w:rFonts w:cs="Times New Roman"/>
          <w:sz w:val="20"/>
          <w:szCs w:val="20"/>
        </w:rPr>
        <w:t xml:space="preserve"> </w:t>
      </w:r>
      <w:r w:rsidR="21EBFEF8" w:rsidRPr="00493755">
        <w:rPr>
          <w:rFonts w:cs="Times New Roman"/>
          <w:sz w:val="20"/>
          <w:szCs w:val="20"/>
        </w:rPr>
        <w:t>īpašumiem</w:t>
      </w:r>
    </w:p>
    <w:p w14:paraId="02A8A7A0" w14:textId="77777777" w:rsidR="00473A06" w:rsidRPr="00493755" w:rsidRDefault="00473A06" w:rsidP="006F06E8">
      <w:pPr>
        <w:tabs>
          <w:tab w:val="left" w:pos="993"/>
        </w:tabs>
        <w:spacing w:before="120"/>
        <w:contextualSpacing/>
        <w:rPr>
          <w:rFonts w:cs="Times New Roman"/>
          <w:sz w:val="22"/>
        </w:rPr>
      </w:pPr>
    </w:p>
    <w:p w14:paraId="7BF53886" w14:textId="4B125C28" w:rsidR="00876F74" w:rsidRPr="00493755" w:rsidRDefault="532D7E19" w:rsidP="3606186A">
      <w:pPr>
        <w:widowControl w:val="0"/>
        <w:adjustRightInd w:val="0"/>
        <w:spacing w:before="120" w:after="120" w:line="240" w:lineRule="auto"/>
        <w:ind w:firstLine="720"/>
        <w:jc w:val="center"/>
        <w:textAlignment w:val="baseline"/>
        <w:rPr>
          <w:rFonts w:cs="Times New Roman"/>
          <w:b/>
          <w:bCs/>
          <w:sz w:val="24"/>
          <w:szCs w:val="24"/>
        </w:rPr>
      </w:pPr>
      <w:r w:rsidRPr="00493755">
        <w:rPr>
          <w:rFonts w:cs="Times New Roman"/>
          <w:b/>
          <w:bCs/>
          <w:sz w:val="24"/>
          <w:szCs w:val="24"/>
        </w:rPr>
        <w:t xml:space="preserve">Infrastruktūras pārvaldības modeļa izveide </w:t>
      </w:r>
    </w:p>
    <w:p w14:paraId="3B4B98C2" w14:textId="3E35FF50" w:rsidR="00B835B7" w:rsidRPr="00493755" w:rsidRDefault="3606186A" w:rsidP="00E37499">
      <w:pPr>
        <w:widowControl w:val="0"/>
        <w:spacing w:after="0" w:line="240" w:lineRule="auto"/>
        <w:ind w:firstLine="720"/>
        <w:jc w:val="both"/>
        <w:rPr>
          <w:rFonts w:cs="Times New Roman"/>
          <w:sz w:val="24"/>
          <w:szCs w:val="24"/>
        </w:rPr>
      </w:pPr>
      <w:r w:rsidRPr="00493755">
        <w:rPr>
          <w:rFonts w:cs="Times New Roman"/>
          <w:sz w:val="24"/>
          <w:szCs w:val="24"/>
        </w:rPr>
        <w:t>Pildot Ministru kabineta (turpmāk – MK) uzdevumu,</w:t>
      </w:r>
      <w:r w:rsidR="00B835B7" w:rsidRPr="00493755">
        <w:rPr>
          <w:rStyle w:val="FootnoteReference"/>
          <w:rFonts w:cs="Times New Roman"/>
          <w:sz w:val="24"/>
          <w:szCs w:val="24"/>
        </w:rPr>
        <w:footnoteReference w:id="2"/>
      </w:r>
      <w:r w:rsidRPr="00493755">
        <w:rPr>
          <w:rFonts w:cs="Times New Roman"/>
          <w:sz w:val="24"/>
          <w:szCs w:val="24"/>
        </w:rPr>
        <w:t xml:space="preserve"> Ministrija divas reizes gadā sniedz MK ziņojumus par progresu Rail Baltica dzelzceļa infrastruktūras pārvaldības modeļa </w:t>
      </w:r>
      <w:r w:rsidR="244C36B9" w:rsidRPr="00493755">
        <w:rPr>
          <w:rFonts w:cs="Times New Roman"/>
          <w:sz w:val="24"/>
          <w:szCs w:val="24"/>
        </w:rPr>
        <w:t>izstrādē</w:t>
      </w:r>
      <w:r w:rsidRPr="00493755">
        <w:rPr>
          <w:rFonts w:cs="Times New Roman"/>
          <w:sz w:val="24"/>
          <w:szCs w:val="24"/>
        </w:rPr>
        <w:t>.</w:t>
      </w:r>
      <w:r w:rsidR="00B835B7" w:rsidRPr="00493755">
        <w:rPr>
          <w:rStyle w:val="FootnoteReference"/>
          <w:rFonts w:cs="Times New Roman"/>
          <w:sz w:val="24"/>
          <w:szCs w:val="24"/>
        </w:rPr>
        <w:footnoteReference w:id="3"/>
      </w:r>
    </w:p>
    <w:p w14:paraId="6D9C3C38" w14:textId="3E5E08DE" w:rsidR="00B835B7" w:rsidRPr="00493755" w:rsidRDefault="3606186A" w:rsidP="00E37499">
      <w:pPr>
        <w:spacing w:after="0" w:line="240" w:lineRule="auto"/>
        <w:ind w:firstLine="720"/>
        <w:jc w:val="both"/>
        <w:rPr>
          <w:rFonts w:cs="Times New Roman"/>
          <w:sz w:val="24"/>
          <w:szCs w:val="24"/>
        </w:rPr>
      </w:pPr>
      <w:r w:rsidRPr="00493755">
        <w:rPr>
          <w:rFonts w:cs="Times New Roman"/>
          <w:sz w:val="24"/>
          <w:szCs w:val="24"/>
        </w:rPr>
        <w:t xml:space="preserve">Kopš 2021. gada novembra, kad tika skatīts iepriekšējais progresa ziņojums, ir publicēts  trīs Baltijas valstu </w:t>
      </w:r>
      <w:r w:rsidR="244C36B9" w:rsidRPr="00493755">
        <w:rPr>
          <w:rFonts w:cs="Times New Roman"/>
          <w:sz w:val="24"/>
          <w:szCs w:val="24"/>
        </w:rPr>
        <w:t>neformālās ekspertu</w:t>
      </w:r>
      <w:r w:rsidRPr="00493755">
        <w:rPr>
          <w:rFonts w:cs="Times New Roman"/>
          <w:sz w:val="24"/>
          <w:szCs w:val="24"/>
        </w:rPr>
        <w:t xml:space="preserve"> darba grupas izstrādāts pirmais Rail Baltica infrastruktūras pārvaldības modeļa ieviešanas ikgadējais progresa ziņojums,</w:t>
      </w:r>
      <w:r w:rsidR="00B835B7" w:rsidRPr="00493755">
        <w:rPr>
          <w:rStyle w:val="FootnoteReference"/>
          <w:rFonts w:cs="Times New Roman"/>
          <w:sz w:val="24"/>
          <w:szCs w:val="24"/>
        </w:rPr>
        <w:footnoteReference w:id="4"/>
      </w:r>
      <w:r w:rsidR="244C36B9" w:rsidRPr="00493755">
        <w:rPr>
          <w:rStyle w:val="FootnoteReference"/>
          <w:rFonts w:cs="Times New Roman"/>
          <w:sz w:val="24"/>
          <w:szCs w:val="24"/>
        </w:rPr>
        <w:t xml:space="preserve"> </w:t>
      </w:r>
      <w:r w:rsidRPr="00493755">
        <w:rPr>
          <w:rFonts w:cs="Times New Roman"/>
          <w:sz w:val="24"/>
          <w:szCs w:val="24"/>
        </w:rPr>
        <w:t>sniedzot pārskatu par paveikto 2021. gadā. Progress ir panākts attiecībā uz Rail Baltica infrastruktūras pārvaldības modeļa izst</w:t>
      </w:r>
      <w:r w:rsidR="003E184D" w:rsidRPr="00493755">
        <w:rPr>
          <w:rFonts w:cs="Times New Roman"/>
          <w:sz w:val="24"/>
          <w:szCs w:val="24"/>
        </w:rPr>
        <w:t>r</w:t>
      </w:r>
      <w:r w:rsidRPr="00493755">
        <w:rPr>
          <w:rFonts w:cs="Times New Roman"/>
          <w:sz w:val="24"/>
          <w:szCs w:val="24"/>
        </w:rPr>
        <w:t>ādi gan nacionālā, gan trīs Baltijas valstu līmenī, ņemot vērā valstu uzņemtās saistības īstenot koordinētu pieeju Rail Baltica infrastruktūras pārvaldības modeļa izst</w:t>
      </w:r>
      <w:r w:rsidR="006A3E6E" w:rsidRPr="00493755">
        <w:rPr>
          <w:rFonts w:cs="Times New Roman"/>
          <w:sz w:val="24"/>
          <w:szCs w:val="24"/>
        </w:rPr>
        <w:t>r</w:t>
      </w:r>
      <w:r w:rsidRPr="00493755">
        <w:rPr>
          <w:rFonts w:cs="Times New Roman"/>
          <w:sz w:val="24"/>
          <w:szCs w:val="24"/>
        </w:rPr>
        <w:t xml:space="preserve">ādē. Ekspertu līmeņa darba grupas ietvaros ir apzināti kopīgie mērķi un Rail Baltica infrastruktūras pārvaldības modelis ir konceptuāli definēts kā “(..) integrēta lēmumu pieņemšanas kārtība, kuras pamatā ir labi koordinētas funkcijas attiecībā uz maksas noteikšanu, maksas iekasēšanu, jaudas sadali, drošību un kustības vadību, īpašu uzmanību pievēršot kopējai maksas noteikšanas shēmai ar kopīgām definīcijām, vienotai jaudas sadales sistēmai ar saskaņotiem noteikumiem un metodiku, kopīgam tīkla pārskatam, valstu </w:t>
      </w:r>
      <w:r w:rsidRPr="00493755">
        <w:rPr>
          <w:rFonts w:cs="Times New Roman"/>
          <w:sz w:val="24"/>
          <w:szCs w:val="24"/>
        </w:rPr>
        <w:lastRenderedPageBreak/>
        <w:t>regulatīvo iestāžu un drošības iestāžu ciešākai sadarbībai un vienotai dzelzceļa ekspluatācijai ar Poliju.”</w:t>
      </w:r>
    </w:p>
    <w:p w14:paraId="7CD018A0" w14:textId="572905C1" w:rsidR="00B835B7" w:rsidRPr="00493755" w:rsidRDefault="3606186A" w:rsidP="00E37499">
      <w:pPr>
        <w:spacing w:after="0" w:line="240" w:lineRule="auto"/>
        <w:ind w:firstLine="720"/>
        <w:jc w:val="both"/>
        <w:rPr>
          <w:rFonts w:cs="Times New Roman"/>
          <w:sz w:val="24"/>
          <w:szCs w:val="24"/>
        </w:rPr>
      </w:pPr>
      <w:r w:rsidRPr="00493755">
        <w:rPr>
          <w:rFonts w:cs="Times New Roman"/>
          <w:sz w:val="24"/>
          <w:szCs w:val="24"/>
        </w:rPr>
        <w:t>2021. gada ietvaros ekspertu līmenī panākta vienošanās par vairākiem svarīgiem infrastruktūras pārvaldības modeļa īstenošanas un turpmākas noteikšanas aspektiem, tostarp, ka</w:t>
      </w:r>
      <w:r w:rsidR="00983058" w:rsidRPr="00493755">
        <w:rPr>
          <w:rFonts w:cs="Times New Roman"/>
          <w:sz w:val="24"/>
          <w:szCs w:val="24"/>
        </w:rPr>
        <w:t>:</w:t>
      </w:r>
      <w:r w:rsidRPr="00493755">
        <w:rPr>
          <w:rFonts w:cs="Times New Roman"/>
          <w:sz w:val="24"/>
          <w:szCs w:val="24"/>
        </w:rPr>
        <w:t xml:space="preserve"> 1) attiecībā uz vienotu tīkla pārskatu, kopīgu jaudas sadali, ekspluatācijas noteikumiem un kustības vadību jābūt kopējai darba </w:t>
      </w:r>
      <w:r w:rsidR="244C36B9" w:rsidRPr="00493755">
        <w:rPr>
          <w:rFonts w:cs="Times New Roman"/>
          <w:sz w:val="24"/>
          <w:szCs w:val="24"/>
        </w:rPr>
        <w:t>valodai</w:t>
      </w:r>
      <w:r w:rsidRPr="00493755">
        <w:rPr>
          <w:rFonts w:cs="Times New Roman"/>
          <w:sz w:val="24"/>
          <w:szCs w:val="24"/>
        </w:rPr>
        <w:t xml:space="preserve"> un vienotai pieejai valodas lietojumam dzelzceļa ekspluatācijā un ārpus tās; 2) integrēta infrastruktūras uzturēšana modeļa pamatā ir drošība un veiktspēja; 3) būtu jābūt vienotai </w:t>
      </w:r>
      <w:proofErr w:type="spellStart"/>
      <w:r w:rsidRPr="00493755">
        <w:rPr>
          <w:rFonts w:cs="Times New Roman"/>
          <w:sz w:val="24"/>
          <w:szCs w:val="24"/>
        </w:rPr>
        <w:t>saskar</w:t>
      </w:r>
      <w:r w:rsidR="009F1B6A" w:rsidRPr="00493755">
        <w:rPr>
          <w:rFonts w:cs="Times New Roman"/>
          <w:sz w:val="24"/>
          <w:szCs w:val="24"/>
        </w:rPr>
        <w:t>s</w:t>
      </w:r>
      <w:r w:rsidRPr="00493755">
        <w:rPr>
          <w:rFonts w:cs="Times New Roman"/>
          <w:sz w:val="24"/>
          <w:szCs w:val="24"/>
        </w:rPr>
        <w:t>nei</w:t>
      </w:r>
      <w:proofErr w:type="spellEnd"/>
      <w:r w:rsidRPr="00493755">
        <w:rPr>
          <w:rFonts w:cs="Times New Roman"/>
          <w:sz w:val="24"/>
          <w:szCs w:val="24"/>
        </w:rPr>
        <w:t xml:space="preserve"> ar dzelzceļa pārvadājumu uzņēmumiem — viens piekļuves punkts, lai pieteiktos piekļuvei Rail Baltica dzelzceļa infrastruktūrai.</w:t>
      </w:r>
    </w:p>
    <w:p w14:paraId="5304F7E4" w14:textId="402DFC81" w:rsidR="00B835B7" w:rsidRPr="00493755" w:rsidRDefault="3606186A" w:rsidP="00E37499">
      <w:pPr>
        <w:spacing w:after="0" w:line="240" w:lineRule="auto"/>
        <w:ind w:firstLine="720"/>
        <w:jc w:val="both"/>
        <w:rPr>
          <w:rFonts w:cs="Times New Roman"/>
          <w:b/>
          <w:bCs/>
          <w:sz w:val="24"/>
          <w:szCs w:val="24"/>
        </w:rPr>
      </w:pPr>
      <w:r w:rsidRPr="00493755">
        <w:rPr>
          <w:rFonts w:cs="Times New Roman"/>
          <w:sz w:val="24"/>
          <w:szCs w:val="24"/>
        </w:rPr>
        <w:t xml:space="preserve">Lai stiprinātu infrastruktūras pārvaldības modeļa izstrādes virzību vairākos līmeņos, pēc </w:t>
      </w:r>
      <w:r w:rsidR="244C36B9" w:rsidRPr="00493755">
        <w:rPr>
          <w:rFonts w:cs="Times New Roman"/>
          <w:sz w:val="24"/>
          <w:szCs w:val="24"/>
        </w:rPr>
        <w:t>Ministrijas</w:t>
      </w:r>
      <w:r w:rsidRPr="00493755">
        <w:rPr>
          <w:rFonts w:cs="Times New Roman"/>
          <w:sz w:val="24"/>
          <w:szCs w:val="24"/>
        </w:rPr>
        <w:t xml:space="preserve"> iniciatīvas 2021. gada nogalē ir uzsākts trīs Baltijas valstu atbildīgo ministriju augstāko amatpersonu </w:t>
      </w:r>
      <w:r w:rsidR="244C36B9" w:rsidRPr="00493755">
        <w:rPr>
          <w:rFonts w:cs="Times New Roman"/>
          <w:sz w:val="24"/>
          <w:szCs w:val="24"/>
        </w:rPr>
        <w:t xml:space="preserve">(valsts sekretāru vietnieki, vice-ministri) </w:t>
      </w:r>
      <w:proofErr w:type="spellStart"/>
      <w:r w:rsidRPr="00493755">
        <w:rPr>
          <w:rFonts w:cs="Times New Roman"/>
          <w:sz w:val="24"/>
          <w:szCs w:val="24"/>
        </w:rPr>
        <w:t>trialogs</w:t>
      </w:r>
      <w:proofErr w:type="spellEnd"/>
      <w:r w:rsidRPr="00493755">
        <w:rPr>
          <w:rFonts w:cs="Times New Roman"/>
          <w:sz w:val="24"/>
          <w:szCs w:val="24"/>
        </w:rPr>
        <w:t>, lai pārrunātu aktuālākos jautājumus un rastu kopsaucēju par turpmākajiem soļiem ekspertu līmenī panāktā progresa nostiprināšanai starpvaldību līgumā. Līdz ar šī formāta izveidi tiek palielināta atbildīgo Baltijas valstu ministriju iesaiste lēmumu pieņemšanas procesos, lai nodrošinātu kopīgos principos balstītu vienotu pieeju infrastruktūras pārvaldības aktivitāšu ieviešanā.</w:t>
      </w:r>
      <w:r w:rsidR="00B835B7" w:rsidRPr="00493755">
        <w:rPr>
          <w:rFonts w:cs="Times New Roman"/>
        </w:rPr>
        <w:fldChar w:fldCharType="begin"/>
      </w:r>
      <w:r w:rsidR="244C36B9" w:rsidRPr="00493755">
        <w:rPr>
          <w:rFonts w:cs="Times New Roman"/>
        </w:rPr>
        <w:instrText xml:space="preserve">HYPERLINK "https://euc-word-edit.officeapps.live.com/we/wordeditorframe.aspx?ui=en%2DUS&amp;rs=en%2DUS&amp;wopisrc=https%3A%2F%2Fsamgov.sharepoint.com%2Fsites%2FRB_Nodala%2F_vti_bin%2Fwopi.ashx%2Ffiles%2F31d5e910ac884a2b9ec1ea47c5399cb3&amp;wdenableroaming=1&amp;mscc=1&amp;hid=5F901A1B-A02E-45CD-B485-439CB19F322A&amp;wdorigin=AuthPrompt&amp;jsapi=1&amp;jsapiver=v1&amp;newsession=1&amp;corrid=4dea35b3-48f0-49a9-b9c7-0744911349cd&amp;usid=4dea35b3-48f0-49a9-b9c7-0744911349cd&amp;sftc=1&amp;mtf=1&amp;sfp=1&amp;instantedit=1&amp;wopicomplete=1&amp;wdredirectionreason=Unified_SingleFlush&amp;rct=Medium&amp;ctp=LeastProtected#_ftn2" </w:instrText>
      </w:r>
      <w:r w:rsidR="00B835B7" w:rsidRPr="00493755">
        <w:rPr>
          <w:rFonts w:cs="Times New Roman"/>
        </w:rPr>
        <w:fldChar w:fldCharType="separate"/>
      </w:r>
    </w:p>
    <w:p w14:paraId="2DAF878B" w14:textId="77012F06" w:rsidR="00B835B7" w:rsidRPr="00493755" w:rsidRDefault="00B835B7" w:rsidP="00983058">
      <w:pPr>
        <w:spacing w:before="120" w:after="120" w:line="240" w:lineRule="auto"/>
        <w:ind w:firstLine="720"/>
        <w:jc w:val="center"/>
        <w:rPr>
          <w:rFonts w:cs="Times New Roman"/>
          <w:b/>
          <w:bCs/>
          <w:sz w:val="24"/>
          <w:szCs w:val="24"/>
        </w:rPr>
      </w:pPr>
      <w:r w:rsidRPr="00493755">
        <w:rPr>
          <w:rFonts w:cs="Times New Roman"/>
        </w:rPr>
        <w:fldChar w:fldCharType="end"/>
      </w:r>
      <w:r w:rsidR="29D2CE53" w:rsidRPr="00493755">
        <w:rPr>
          <w:rFonts w:cs="Times New Roman"/>
          <w:b/>
          <w:bCs/>
          <w:sz w:val="24"/>
          <w:szCs w:val="24"/>
        </w:rPr>
        <w:t xml:space="preserve">Pārrobežu jautājumu problemātika </w:t>
      </w:r>
    </w:p>
    <w:p w14:paraId="55F2B46E" w14:textId="66706CDE" w:rsidR="00B835B7" w:rsidRPr="00493755" w:rsidRDefault="3606186A" w:rsidP="00983058">
      <w:pPr>
        <w:widowControl w:val="0"/>
        <w:adjustRightInd w:val="0"/>
        <w:spacing w:after="0" w:line="240" w:lineRule="auto"/>
        <w:ind w:firstLine="720"/>
        <w:jc w:val="both"/>
        <w:textAlignment w:val="baseline"/>
        <w:rPr>
          <w:rFonts w:eastAsia="Times New Roman" w:cs="Times New Roman"/>
          <w:sz w:val="24"/>
          <w:szCs w:val="24"/>
          <w:lang w:val="lv"/>
        </w:rPr>
      </w:pPr>
      <w:r w:rsidRPr="00493755">
        <w:rPr>
          <w:rFonts w:eastAsia="Times New Roman" w:cs="Times New Roman"/>
          <w:sz w:val="24"/>
          <w:szCs w:val="24"/>
          <w:lang w:val="lv"/>
        </w:rPr>
        <w:t>Kā jau norādīts iepriekšējā šī ziņojuma sadaļā, Ministrija ir ierosinājusi atjaunot Baltijas valstu atbildīgo ministriju savstarpējo komunikāciju Rail Baltica infrastruktūras pārvaldības jautājumos, lai stiprinātu ekspertu darba grupas rezultātus. Lai arī ekspertu darba grup</w:t>
      </w:r>
      <w:r w:rsidR="00FF0FFB" w:rsidRPr="00493755">
        <w:rPr>
          <w:rFonts w:eastAsia="Times New Roman" w:cs="Times New Roman"/>
          <w:sz w:val="24"/>
          <w:szCs w:val="24"/>
          <w:lang w:val="lv"/>
        </w:rPr>
        <w:t>a</w:t>
      </w:r>
      <w:r w:rsidRPr="00493755">
        <w:rPr>
          <w:rFonts w:eastAsia="Times New Roman" w:cs="Times New Roman"/>
          <w:sz w:val="24"/>
          <w:szCs w:val="24"/>
          <w:lang w:val="lv"/>
        </w:rPr>
        <w:t xml:space="preserve"> ir strādājusi, regulāri tiekoties kopš 2020. gada trešā ceturkšņa, un ir panākts zināms progress būtisko jautājumu identificēšanā infrastruktūras pārvaldības modeļa izveid</w:t>
      </w:r>
      <w:r w:rsidR="003C305F" w:rsidRPr="00493755">
        <w:rPr>
          <w:rFonts w:eastAsia="Times New Roman" w:cs="Times New Roman"/>
          <w:sz w:val="24"/>
          <w:szCs w:val="24"/>
          <w:lang w:val="lv"/>
        </w:rPr>
        <w:t>ei</w:t>
      </w:r>
      <w:r w:rsidRPr="00493755">
        <w:rPr>
          <w:rFonts w:eastAsia="Times New Roman" w:cs="Times New Roman"/>
          <w:sz w:val="24"/>
          <w:szCs w:val="24"/>
          <w:lang w:val="lv"/>
        </w:rPr>
        <w:t>, taču ir iespaids, ka dažādu apstākļu ietekmē nepieciešamais rezultāts netiks sasniegts tik drīz, kā iepriekš cerēts. Tādēļ vice-ministru (valsts sekretāra vietnieku) līmeņa sanāksmes tostarp tiek organizētas, lai pēc līdzšinējā progresa izvērtēšanas un pārrunāšanas ievirzītu ekspertu darba grupas darbu nepieciešamajā gultnē. Vienlaikus s</w:t>
      </w:r>
      <w:r w:rsidR="001604CE" w:rsidRPr="00493755">
        <w:rPr>
          <w:rFonts w:eastAsia="Times New Roman" w:cs="Times New Roman"/>
          <w:sz w:val="24"/>
          <w:szCs w:val="24"/>
          <w:lang w:val="lv"/>
        </w:rPr>
        <w:t xml:space="preserve">tarpvalstu </w:t>
      </w:r>
      <w:r w:rsidR="00B13199" w:rsidRPr="00493755">
        <w:rPr>
          <w:rFonts w:eastAsia="Times New Roman" w:cs="Times New Roman"/>
          <w:sz w:val="24"/>
          <w:szCs w:val="24"/>
          <w:lang w:val="lv"/>
        </w:rPr>
        <w:t xml:space="preserve">transporta </w:t>
      </w:r>
      <w:r w:rsidRPr="00493755">
        <w:rPr>
          <w:rFonts w:eastAsia="Times New Roman" w:cs="Times New Roman"/>
          <w:sz w:val="24"/>
          <w:szCs w:val="24"/>
          <w:lang w:val="lv"/>
        </w:rPr>
        <w:t>ministriju formāta sarunas ir atsāktas, jo Ministrijas ieskatā ir nepieciešams formalizēt līdzšinējā darba rezultātus un uzsākt sarunas par juridiskā ietvara (piemēram, starpvaldību līguma vai saprašanās memoranda formātā) izstrādi, kas kalpotu kā pamats vienotai Rail Baltica infrastruktūras pārvaldīšanai visām trim Baltijas valstīm pieņemamā veidā. Skaidrs juridiskais ietvars ļautu konkretizēt pušu saistības, vairojot tiesisko noteiktību, un ļautu labāk pārraudzīt gan infrastruktūras pārvaldības modeļa izveides progresu, gan infrastruktūras praktisko pārvaldīšanu nākotnē.</w:t>
      </w:r>
    </w:p>
    <w:p w14:paraId="04BEA635" w14:textId="78108236" w:rsidR="00B835B7" w:rsidRPr="00493755" w:rsidRDefault="3606186A" w:rsidP="00983058">
      <w:pPr>
        <w:widowControl w:val="0"/>
        <w:adjustRightInd w:val="0"/>
        <w:spacing w:after="0" w:line="240" w:lineRule="auto"/>
        <w:ind w:firstLine="720"/>
        <w:jc w:val="both"/>
        <w:textAlignment w:val="baseline"/>
        <w:rPr>
          <w:rFonts w:eastAsia="Times New Roman" w:cs="Times New Roman"/>
          <w:sz w:val="24"/>
          <w:szCs w:val="24"/>
          <w:lang w:val="lv"/>
        </w:rPr>
      </w:pPr>
      <w:r w:rsidRPr="00493755">
        <w:rPr>
          <w:rFonts w:eastAsia="Times New Roman" w:cs="Times New Roman"/>
          <w:sz w:val="24"/>
          <w:szCs w:val="24"/>
          <w:lang w:val="lv"/>
        </w:rPr>
        <w:t>Diemžēl partneri no pārējo Baltijas valstu atbildīgajām ministrijām esošajā stadijā ne</w:t>
      </w:r>
      <w:r w:rsidR="001733D6" w:rsidRPr="00493755">
        <w:rPr>
          <w:rFonts w:eastAsia="Times New Roman" w:cs="Times New Roman"/>
          <w:sz w:val="24"/>
          <w:szCs w:val="24"/>
          <w:lang w:val="lv"/>
        </w:rPr>
        <w:t xml:space="preserve">saskata </w:t>
      </w:r>
      <w:r w:rsidRPr="00493755">
        <w:rPr>
          <w:rFonts w:eastAsia="Times New Roman" w:cs="Times New Roman"/>
          <w:sz w:val="24"/>
          <w:szCs w:val="24"/>
          <w:lang w:val="lv"/>
        </w:rPr>
        <w:t>nepieciešamību procesa formalizēšanai un tiesiskai nostiprināšanai</w:t>
      </w:r>
      <w:r w:rsidR="0072396F" w:rsidRPr="00493755">
        <w:rPr>
          <w:rFonts w:eastAsia="Times New Roman" w:cs="Times New Roman"/>
          <w:sz w:val="24"/>
          <w:szCs w:val="24"/>
          <w:lang w:val="lv"/>
        </w:rPr>
        <w:t xml:space="preserve"> un</w:t>
      </w:r>
      <w:r w:rsidRPr="00493755">
        <w:rPr>
          <w:rFonts w:eastAsia="Times New Roman" w:cs="Times New Roman"/>
          <w:sz w:val="24"/>
          <w:szCs w:val="24"/>
          <w:lang w:val="lv"/>
        </w:rPr>
        <w:t xml:space="preserve"> līdz ar to neatbalsta sarunu uzsākšanu par starpvaldību līguma izstrādi, kas Ministrijas ieskatā rada noteiktus riskus, tostarp, ka Baltijas valstis nespēs laicīgi vienoties par vienotu pieeju Rail Baltica infrastruktūras pārvaldīšanā. Taču Ministrija apņemas turpināt mudināt atbildīgās ministrijas Lietuvā un Igaunijā rast tādus kopsaucējus, par kuriem starpvaldību līmeņa vienošanās varētu tikt noslēgta.</w:t>
      </w:r>
      <w:r w:rsidR="00226AD7">
        <w:rPr>
          <w:rFonts w:eastAsia="Times New Roman" w:cs="Times New Roman"/>
          <w:sz w:val="24"/>
          <w:szCs w:val="24"/>
          <w:lang w:val="lv"/>
        </w:rPr>
        <w:t xml:space="preserve"> Pagaidu risinājums, kas kā plānots dotu atbildīgajām ministrijām drošību, ka visas valstis veiks nepieciešamās darbības nacionālā līmenī, lai </w:t>
      </w:r>
      <w:proofErr w:type="spellStart"/>
      <w:r w:rsidR="00D66826">
        <w:rPr>
          <w:rFonts w:eastAsia="Times New Roman" w:cs="Times New Roman"/>
          <w:sz w:val="24"/>
          <w:szCs w:val="24"/>
          <w:lang w:val="lv"/>
        </w:rPr>
        <w:t>iespējotu</w:t>
      </w:r>
      <w:proofErr w:type="spellEnd"/>
      <w:r w:rsidR="00D66826">
        <w:rPr>
          <w:rFonts w:eastAsia="Times New Roman" w:cs="Times New Roman"/>
          <w:sz w:val="24"/>
          <w:szCs w:val="24"/>
          <w:lang w:val="lv"/>
        </w:rPr>
        <w:t xml:space="preserve"> infrastruktūras pārvaldības modeļa darbību atbilstoši Baltijas valstu ekspertu kopdarbam, ir kopīgo lēmumu nostiprināšana </w:t>
      </w:r>
      <w:proofErr w:type="spellStart"/>
      <w:r w:rsidR="00D66826">
        <w:rPr>
          <w:rFonts w:eastAsia="Times New Roman" w:cs="Times New Roman"/>
          <w:sz w:val="24"/>
          <w:szCs w:val="24"/>
          <w:lang w:val="lv"/>
        </w:rPr>
        <w:t>starpministriju</w:t>
      </w:r>
      <w:proofErr w:type="spellEnd"/>
      <w:r w:rsidR="00D66826">
        <w:rPr>
          <w:rFonts w:eastAsia="Times New Roman" w:cs="Times New Roman"/>
          <w:sz w:val="24"/>
          <w:szCs w:val="24"/>
          <w:lang w:val="lv"/>
        </w:rPr>
        <w:t xml:space="preserve"> darba grupas (VSV jeb vice-ministru līmenī) protokolā. Ministrija uzskata, ka Baltijas valstu premjeru līmenī ikgadējo sanāksmju ietvaros jānovērtē progress infrastruktūras pārvaldības jautājumos un tas jāatspoguļo kopīgā paziņojumā. </w:t>
      </w:r>
    </w:p>
    <w:p w14:paraId="50CF1AB8" w14:textId="5DBD098E" w:rsidR="00B835B7" w:rsidRPr="00493755" w:rsidRDefault="3606186A" w:rsidP="00983058">
      <w:pPr>
        <w:widowControl w:val="0"/>
        <w:adjustRightInd w:val="0"/>
        <w:spacing w:after="0" w:line="240" w:lineRule="auto"/>
        <w:ind w:firstLine="720"/>
        <w:jc w:val="both"/>
        <w:textAlignment w:val="baseline"/>
        <w:rPr>
          <w:rFonts w:eastAsia="Times New Roman" w:cs="Times New Roman"/>
          <w:sz w:val="24"/>
          <w:szCs w:val="24"/>
          <w:lang w:val="lv"/>
        </w:rPr>
      </w:pPr>
      <w:r w:rsidRPr="00493755">
        <w:rPr>
          <w:rFonts w:eastAsia="Times New Roman" w:cs="Times New Roman"/>
          <w:sz w:val="24"/>
          <w:szCs w:val="24"/>
          <w:lang w:val="lv"/>
        </w:rPr>
        <w:lastRenderedPageBreak/>
        <w:t>Papildus pārrobežu jautājuma tematikā Ministrija atzīmē, ka ir rūpīgi sekojusi līdzi notikumu attīstības gaitai Lietuv</w:t>
      </w:r>
      <w:r w:rsidR="006C6A45" w:rsidRPr="00493755">
        <w:rPr>
          <w:rFonts w:eastAsia="Times New Roman" w:cs="Times New Roman"/>
          <w:sz w:val="24"/>
          <w:szCs w:val="24"/>
          <w:lang w:val="lv"/>
        </w:rPr>
        <w:t>as</w:t>
      </w:r>
      <w:r w:rsidRPr="00493755">
        <w:rPr>
          <w:rFonts w:eastAsia="Times New Roman" w:cs="Times New Roman"/>
          <w:sz w:val="24"/>
          <w:szCs w:val="24"/>
          <w:lang w:val="lv"/>
        </w:rPr>
        <w:t xml:space="preserve"> tilta pār Neris upi būvdarbu iepirkumā, ņemot vērā, ka Lietuvas drošības iestādes, izvērtējot iepirkuma uzvarētāju - Spānijā reģistrētu būvkomersantu, kurš pieder kādai Ķīnas kompānijai, nerekomendēja līguma parakstīšanu ar minēto iepirkuma uzvarētāju. Ņemot vērā Rail Baltica infrastruktūras stratēģisko nozīmi, ir būtiski izvairīties no dažādiem ar tās izveidi </w:t>
      </w:r>
      <w:r w:rsidR="244C36B9" w:rsidRPr="00493755">
        <w:rPr>
          <w:rFonts w:eastAsia="Times New Roman" w:cs="Times New Roman"/>
          <w:sz w:val="24"/>
          <w:szCs w:val="24"/>
          <w:lang w:val="lv"/>
        </w:rPr>
        <w:t>saistītiem</w:t>
      </w:r>
      <w:r w:rsidRPr="00493755">
        <w:rPr>
          <w:rFonts w:eastAsia="Times New Roman" w:cs="Times New Roman"/>
          <w:sz w:val="24"/>
          <w:szCs w:val="24"/>
          <w:lang w:val="lv"/>
        </w:rPr>
        <w:t xml:space="preserve"> drošības riskiem, tostarp nosakot augstas prasības tiem komersantiem, kas būs tiesīgi piedalīties šīs infrastruktūras izveidē. Tādēļ, lai novērstu līdzīgu gadījumu atkārtošanos arī Latvijā, Ministrija kopā ar Aizsardzības ministriju ir sākusi izvērtēt nepieciešamību pilnveidot Latvijas tiesisko regulējumu ar nolūku </w:t>
      </w:r>
      <w:r w:rsidR="244C36B9" w:rsidRPr="00493755">
        <w:rPr>
          <w:rFonts w:eastAsia="Times New Roman" w:cs="Times New Roman"/>
          <w:sz w:val="24"/>
          <w:szCs w:val="24"/>
          <w:lang w:val="lv"/>
        </w:rPr>
        <w:t>noteikt stingrākas</w:t>
      </w:r>
      <w:r w:rsidRPr="00493755">
        <w:rPr>
          <w:rFonts w:eastAsia="Times New Roman" w:cs="Times New Roman"/>
          <w:sz w:val="24"/>
          <w:szCs w:val="24"/>
          <w:lang w:val="lv"/>
        </w:rPr>
        <w:t xml:space="preserve"> prasības tiem komersantiem, kas piedalīsies stratēģiski nozīmīgas infrastruktūras izveidē.</w:t>
      </w:r>
    </w:p>
    <w:tbl>
      <w:tblPr>
        <w:tblW w:w="8850" w:type="dxa"/>
        <w:tblLook w:val="04A0" w:firstRow="1" w:lastRow="0" w:firstColumn="1" w:lastColumn="0" w:noHBand="0" w:noVBand="1"/>
      </w:tblPr>
      <w:tblGrid>
        <w:gridCol w:w="8850"/>
      </w:tblGrid>
      <w:tr w:rsidR="00F30AE0" w:rsidRPr="00493755" w14:paraId="0597C1A8" w14:textId="77777777" w:rsidTr="004A311B">
        <w:trPr>
          <w:trHeight w:val="311"/>
        </w:trPr>
        <w:tc>
          <w:tcPr>
            <w:tcW w:w="8850" w:type="dxa"/>
            <w:tcBorders>
              <w:top w:val="nil"/>
              <w:left w:val="nil"/>
              <w:bottom w:val="nil"/>
              <w:right w:val="nil"/>
            </w:tcBorders>
            <w:shd w:val="clear" w:color="auto" w:fill="auto"/>
            <w:noWrap/>
            <w:vAlign w:val="bottom"/>
            <w:hideMark/>
          </w:tcPr>
          <w:p w14:paraId="77C5E3FA" w14:textId="6687B91F" w:rsidR="00B85681" w:rsidRPr="00493755" w:rsidRDefault="00B85681" w:rsidP="00BC5DCB">
            <w:pPr>
              <w:spacing w:after="0" w:line="240" w:lineRule="auto"/>
              <w:rPr>
                <w:rFonts w:eastAsia="Times New Roman" w:cs="Times New Roman"/>
                <w:color w:val="000000"/>
                <w:sz w:val="24"/>
                <w:szCs w:val="24"/>
                <w:lang w:eastAsia="en-GB"/>
              </w:rPr>
            </w:pPr>
          </w:p>
        </w:tc>
      </w:tr>
    </w:tbl>
    <w:p w14:paraId="147B4DBB" w14:textId="473C3900" w:rsidR="00274C76" w:rsidRPr="00493755" w:rsidRDefault="00274C76" w:rsidP="00274C76">
      <w:pPr>
        <w:tabs>
          <w:tab w:val="left" w:pos="993"/>
        </w:tabs>
        <w:spacing w:before="120" w:after="0" w:line="240" w:lineRule="auto"/>
        <w:contextualSpacing/>
        <w:jc w:val="right"/>
        <w:rPr>
          <w:rFonts w:cs="Times New Roman"/>
          <w:bCs/>
          <w:sz w:val="22"/>
        </w:rPr>
      </w:pPr>
    </w:p>
    <w:p w14:paraId="57D67FD5" w14:textId="77777777" w:rsidR="001D19AB" w:rsidRPr="00493755" w:rsidRDefault="001D19AB" w:rsidP="001D19AB">
      <w:pPr>
        <w:tabs>
          <w:tab w:val="left" w:pos="7088"/>
        </w:tabs>
        <w:spacing w:after="0" w:line="240" w:lineRule="auto"/>
        <w:ind w:left="851"/>
        <w:rPr>
          <w:rFonts w:eastAsia="Times New Roman" w:cs="Times New Roman"/>
          <w:sz w:val="24"/>
          <w:szCs w:val="24"/>
          <w:lang w:val="cs-CZ"/>
        </w:rPr>
      </w:pPr>
    </w:p>
    <w:p w14:paraId="6D2DFB0C" w14:textId="355CC8CF" w:rsidR="00B56B0C" w:rsidRPr="00493755" w:rsidRDefault="00B56B0C" w:rsidP="001D19AB">
      <w:pPr>
        <w:tabs>
          <w:tab w:val="left" w:pos="7088"/>
        </w:tabs>
        <w:spacing w:after="0" w:line="240" w:lineRule="auto"/>
        <w:ind w:left="851"/>
        <w:rPr>
          <w:rFonts w:eastAsia="Times New Roman" w:cs="Times New Roman"/>
          <w:sz w:val="24"/>
          <w:szCs w:val="24"/>
          <w:lang w:val="cs-CZ"/>
        </w:rPr>
      </w:pPr>
    </w:p>
    <w:p w14:paraId="1F37B28A" w14:textId="568FFEC7" w:rsidR="001D19AB" w:rsidRPr="00493755" w:rsidRDefault="001D19AB" w:rsidP="0064370B">
      <w:pPr>
        <w:tabs>
          <w:tab w:val="left" w:pos="7088"/>
        </w:tabs>
        <w:spacing w:after="0" w:line="240" w:lineRule="auto"/>
        <w:rPr>
          <w:rFonts w:eastAsia="Times New Roman" w:cs="Times New Roman"/>
          <w:sz w:val="24"/>
          <w:szCs w:val="24"/>
          <w:lang w:val="cs-CZ"/>
        </w:rPr>
      </w:pPr>
      <w:r w:rsidRPr="00493755">
        <w:rPr>
          <w:rFonts w:eastAsia="Times New Roman" w:cs="Times New Roman"/>
          <w:sz w:val="24"/>
          <w:szCs w:val="24"/>
          <w:lang w:val="cs-CZ"/>
        </w:rPr>
        <w:t>Satiksmes ministrs</w:t>
      </w:r>
      <w:r w:rsidRPr="00493755">
        <w:rPr>
          <w:rFonts w:eastAsia="Times New Roman" w:cs="Times New Roman"/>
          <w:sz w:val="24"/>
          <w:szCs w:val="24"/>
          <w:lang w:val="cs-CZ"/>
        </w:rPr>
        <w:tab/>
        <w:t xml:space="preserve">T. Linkaits </w:t>
      </w:r>
    </w:p>
    <w:p w14:paraId="10071652" w14:textId="77777777" w:rsidR="001D19AB" w:rsidRPr="00493755" w:rsidRDefault="001D19AB" w:rsidP="001D19AB">
      <w:pPr>
        <w:tabs>
          <w:tab w:val="left" w:pos="7088"/>
        </w:tabs>
        <w:spacing w:after="0" w:line="240" w:lineRule="auto"/>
        <w:ind w:left="851"/>
        <w:rPr>
          <w:rFonts w:eastAsia="Times New Roman" w:cs="Times New Roman"/>
          <w:sz w:val="24"/>
          <w:szCs w:val="24"/>
          <w:lang w:val="cs-CZ"/>
        </w:rPr>
      </w:pPr>
    </w:p>
    <w:p w14:paraId="09FBE741" w14:textId="77777777" w:rsidR="00161152" w:rsidRPr="00493755" w:rsidRDefault="00161152" w:rsidP="0064370B">
      <w:pPr>
        <w:tabs>
          <w:tab w:val="left" w:pos="7088"/>
        </w:tabs>
        <w:spacing w:after="0" w:line="240" w:lineRule="auto"/>
        <w:rPr>
          <w:rFonts w:eastAsia="Times New Roman" w:cs="Times New Roman"/>
          <w:sz w:val="24"/>
          <w:szCs w:val="24"/>
          <w:lang w:val="cs-CZ"/>
        </w:rPr>
      </w:pPr>
    </w:p>
    <w:p w14:paraId="654D5CF1" w14:textId="646B7888" w:rsidR="001D19AB" w:rsidRPr="00493755" w:rsidRDefault="001D19AB" w:rsidP="0064370B">
      <w:pPr>
        <w:tabs>
          <w:tab w:val="left" w:pos="7088"/>
        </w:tabs>
        <w:spacing w:after="0" w:line="240" w:lineRule="auto"/>
        <w:rPr>
          <w:rFonts w:eastAsia="Times New Roman" w:cs="Times New Roman"/>
          <w:sz w:val="24"/>
          <w:szCs w:val="24"/>
          <w:lang w:val="cs-CZ"/>
        </w:rPr>
      </w:pPr>
      <w:r w:rsidRPr="00493755">
        <w:rPr>
          <w:rFonts w:eastAsia="Times New Roman" w:cs="Times New Roman"/>
          <w:sz w:val="24"/>
          <w:szCs w:val="24"/>
          <w:lang w:val="cs-CZ"/>
        </w:rPr>
        <w:t>Vīza:</w:t>
      </w:r>
    </w:p>
    <w:p w14:paraId="63F363FD" w14:textId="32B98B6F" w:rsidR="001D19AB" w:rsidRPr="00493755" w:rsidRDefault="00FF5E86" w:rsidP="0064370B">
      <w:pPr>
        <w:tabs>
          <w:tab w:val="left" w:pos="7088"/>
        </w:tabs>
        <w:spacing w:after="0" w:line="240" w:lineRule="auto"/>
        <w:rPr>
          <w:rFonts w:eastAsia="Times New Roman" w:cs="Times New Roman"/>
          <w:sz w:val="24"/>
          <w:szCs w:val="24"/>
          <w:lang w:val="cs-CZ"/>
        </w:rPr>
      </w:pPr>
      <w:r w:rsidRPr="00493755">
        <w:rPr>
          <w:rFonts w:eastAsia="Times New Roman" w:cs="Times New Roman"/>
          <w:sz w:val="24"/>
          <w:szCs w:val="24"/>
          <w:lang w:val="cs-CZ"/>
        </w:rPr>
        <w:t>Valsts sekretār</w:t>
      </w:r>
      <w:r w:rsidR="00AB0215" w:rsidRPr="00493755">
        <w:rPr>
          <w:rFonts w:eastAsia="Times New Roman" w:cs="Times New Roman"/>
          <w:sz w:val="24"/>
          <w:szCs w:val="24"/>
          <w:lang w:val="cs-CZ"/>
        </w:rPr>
        <w:t>e</w:t>
      </w:r>
      <w:r w:rsidR="008037AF" w:rsidRPr="00493755">
        <w:rPr>
          <w:rFonts w:eastAsia="Times New Roman" w:cs="Times New Roman"/>
          <w:sz w:val="24"/>
          <w:szCs w:val="24"/>
          <w:lang w:val="cs-CZ"/>
        </w:rPr>
        <w:t xml:space="preserve"> </w:t>
      </w:r>
      <w:r w:rsidR="001D19AB" w:rsidRPr="00493755">
        <w:rPr>
          <w:rFonts w:eastAsia="Times New Roman" w:cs="Times New Roman"/>
          <w:sz w:val="24"/>
          <w:szCs w:val="24"/>
          <w:lang w:val="cs-CZ"/>
        </w:rPr>
        <w:tab/>
      </w:r>
      <w:r w:rsidR="00AB0215" w:rsidRPr="00493755">
        <w:rPr>
          <w:rFonts w:eastAsia="Times New Roman" w:cs="Times New Roman"/>
          <w:sz w:val="24"/>
          <w:szCs w:val="24"/>
          <w:lang w:val="cs-CZ"/>
        </w:rPr>
        <w:t>I</w:t>
      </w:r>
      <w:r w:rsidR="009E7789" w:rsidRPr="00493755">
        <w:rPr>
          <w:rFonts w:eastAsia="Times New Roman" w:cs="Times New Roman"/>
          <w:sz w:val="24"/>
          <w:szCs w:val="24"/>
          <w:lang w:val="cs-CZ"/>
        </w:rPr>
        <w:t>. </w:t>
      </w:r>
      <w:r w:rsidR="00AB0215" w:rsidRPr="00493755">
        <w:rPr>
          <w:rFonts w:eastAsia="Times New Roman" w:cs="Times New Roman"/>
          <w:sz w:val="24"/>
          <w:szCs w:val="24"/>
          <w:lang w:val="cs-CZ"/>
        </w:rPr>
        <w:t>Stepanova</w:t>
      </w:r>
      <w:r w:rsidR="009E7789" w:rsidRPr="00493755">
        <w:rPr>
          <w:rFonts w:eastAsia="Times New Roman" w:cs="Times New Roman"/>
          <w:sz w:val="24"/>
          <w:szCs w:val="24"/>
          <w:lang w:val="cs-CZ"/>
        </w:rPr>
        <w:t xml:space="preserve"> </w:t>
      </w:r>
    </w:p>
    <w:p w14:paraId="0B4FC3F8" w14:textId="77777777" w:rsidR="001D19AB" w:rsidRPr="00493755" w:rsidRDefault="001D19AB" w:rsidP="001D19AB">
      <w:pPr>
        <w:spacing w:after="120" w:line="240" w:lineRule="auto"/>
        <w:rPr>
          <w:rFonts w:cs="Times New Roman"/>
          <w:bCs/>
          <w:sz w:val="24"/>
          <w:szCs w:val="24"/>
        </w:rPr>
      </w:pPr>
    </w:p>
    <w:p w14:paraId="423C5E2D" w14:textId="77777777" w:rsidR="002609D8" w:rsidRPr="00493755" w:rsidRDefault="002609D8" w:rsidP="008A6917">
      <w:pPr>
        <w:spacing w:after="0" w:line="240" w:lineRule="auto"/>
        <w:rPr>
          <w:rFonts w:cs="Times New Roman"/>
          <w:bCs/>
          <w:sz w:val="20"/>
          <w:szCs w:val="20"/>
        </w:rPr>
      </w:pPr>
    </w:p>
    <w:p w14:paraId="41390C22" w14:textId="77777777" w:rsidR="002609D8" w:rsidRPr="00493755" w:rsidRDefault="002609D8" w:rsidP="008A6917">
      <w:pPr>
        <w:spacing w:after="0" w:line="240" w:lineRule="auto"/>
        <w:rPr>
          <w:rFonts w:cs="Times New Roman"/>
          <w:bCs/>
          <w:sz w:val="20"/>
          <w:szCs w:val="20"/>
        </w:rPr>
      </w:pPr>
    </w:p>
    <w:p w14:paraId="6AD94C60" w14:textId="77777777" w:rsidR="002609D8" w:rsidRPr="00493755" w:rsidRDefault="002609D8" w:rsidP="008A6917">
      <w:pPr>
        <w:spacing w:after="0" w:line="240" w:lineRule="auto"/>
        <w:rPr>
          <w:rFonts w:cs="Times New Roman"/>
          <w:bCs/>
          <w:sz w:val="20"/>
          <w:szCs w:val="20"/>
        </w:rPr>
      </w:pPr>
    </w:p>
    <w:p w14:paraId="01CECB0B" w14:textId="2C663E78" w:rsidR="008A6917" w:rsidRPr="00493755" w:rsidRDefault="006B6D9A" w:rsidP="008A6917">
      <w:pPr>
        <w:spacing w:after="0" w:line="240" w:lineRule="auto"/>
        <w:rPr>
          <w:rFonts w:cs="Times New Roman"/>
          <w:bCs/>
          <w:sz w:val="20"/>
          <w:szCs w:val="20"/>
        </w:rPr>
      </w:pPr>
      <w:proofErr w:type="spellStart"/>
      <w:r w:rsidRPr="00493755">
        <w:rPr>
          <w:rFonts w:cs="Times New Roman"/>
          <w:bCs/>
          <w:sz w:val="20"/>
          <w:szCs w:val="20"/>
        </w:rPr>
        <w:t>O</w:t>
      </w:r>
      <w:r w:rsidR="008A6917" w:rsidRPr="00493755">
        <w:rPr>
          <w:rFonts w:cs="Times New Roman"/>
          <w:bCs/>
          <w:sz w:val="20"/>
          <w:szCs w:val="20"/>
        </w:rPr>
        <w:t>.</w:t>
      </w:r>
      <w:r w:rsidRPr="00493755">
        <w:rPr>
          <w:rFonts w:cs="Times New Roman"/>
          <w:bCs/>
          <w:sz w:val="20"/>
          <w:szCs w:val="20"/>
        </w:rPr>
        <w:t>Bērziņa</w:t>
      </w:r>
      <w:proofErr w:type="spellEnd"/>
      <w:r w:rsidR="008A6917" w:rsidRPr="00493755">
        <w:rPr>
          <w:rFonts w:cs="Times New Roman"/>
          <w:bCs/>
          <w:sz w:val="20"/>
          <w:szCs w:val="20"/>
        </w:rPr>
        <w:t>, 670280</w:t>
      </w:r>
      <w:r w:rsidR="00EB3C25" w:rsidRPr="00493755">
        <w:rPr>
          <w:rFonts w:cs="Times New Roman"/>
          <w:bCs/>
          <w:sz w:val="20"/>
          <w:szCs w:val="20"/>
        </w:rPr>
        <w:t>83</w:t>
      </w:r>
    </w:p>
    <w:p w14:paraId="676463A5" w14:textId="13D46284" w:rsidR="008A6917" w:rsidRPr="00493755" w:rsidRDefault="00BE1121" w:rsidP="3606186A">
      <w:pPr>
        <w:spacing w:after="0" w:line="240" w:lineRule="auto"/>
        <w:rPr>
          <w:rFonts w:cs="Times New Roman"/>
          <w:sz w:val="20"/>
          <w:szCs w:val="20"/>
        </w:rPr>
      </w:pPr>
      <w:hyperlink r:id="rId11">
        <w:r w:rsidR="7F8BC8BF" w:rsidRPr="00493755">
          <w:rPr>
            <w:rStyle w:val="Hyperlink"/>
            <w:rFonts w:cs="Times New Roman"/>
            <w:sz w:val="20"/>
            <w:szCs w:val="20"/>
          </w:rPr>
          <w:t>Olita.Berzina@sam.gov.lv</w:t>
        </w:r>
      </w:hyperlink>
      <w:r w:rsidR="1B75E9A2" w:rsidRPr="00493755">
        <w:rPr>
          <w:rFonts w:cs="Times New Roman"/>
          <w:sz w:val="20"/>
          <w:szCs w:val="20"/>
        </w:rPr>
        <w:t xml:space="preserve">   </w:t>
      </w:r>
    </w:p>
    <w:p w14:paraId="461F1261" w14:textId="6471D7BF" w:rsidR="3606186A" w:rsidRPr="00493755" w:rsidRDefault="3606186A" w:rsidP="3606186A">
      <w:pPr>
        <w:spacing w:after="0" w:line="240" w:lineRule="auto"/>
        <w:rPr>
          <w:rFonts w:cs="Times New Roman"/>
          <w:sz w:val="20"/>
          <w:szCs w:val="20"/>
        </w:rPr>
      </w:pPr>
      <w:proofErr w:type="spellStart"/>
      <w:r w:rsidRPr="00493755">
        <w:rPr>
          <w:rFonts w:cs="Times New Roman"/>
          <w:sz w:val="20"/>
          <w:szCs w:val="20"/>
        </w:rPr>
        <w:t>L.Kļava</w:t>
      </w:r>
      <w:proofErr w:type="spellEnd"/>
      <w:r w:rsidRPr="00493755">
        <w:rPr>
          <w:rFonts w:cs="Times New Roman"/>
          <w:sz w:val="20"/>
          <w:szCs w:val="20"/>
        </w:rPr>
        <w:t>, 67028024</w:t>
      </w:r>
    </w:p>
    <w:p w14:paraId="241F205F" w14:textId="11B95F94" w:rsidR="3606186A" w:rsidRPr="00493755" w:rsidRDefault="00BE1121" w:rsidP="3606186A">
      <w:pPr>
        <w:spacing w:after="0" w:line="240" w:lineRule="auto"/>
        <w:rPr>
          <w:rFonts w:cs="Times New Roman"/>
          <w:sz w:val="20"/>
          <w:szCs w:val="20"/>
        </w:rPr>
      </w:pPr>
      <w:hyperlink r:id="rId12" w:history="1">
        <w:r w:rsidR="3606186A" w:rsidRPr="00493755">
          <w:rPr>
            <w:rStyle w:val="Hyperlink"/>
            <w:rFonts w:cs="Times New Roman"/>
            <w:sz w:val="20"/>
            <w:szCs w:val="20"/>
          </w:rPr>
          <w:t>Larisa.Kļava@sam.gov.lv</w:t>
        </w:r>
      </w:hyperlink>
    </w:p>
    <w:p w14:paraId="62C131DC" w14:textId="760CCF05" w:rsidR="3606186A" w:rsidRPr="00493755" w:rsidRDefault="3606186A" w:rsidP="3606186A">
      <w:pPr>
        <w:spacing w:after="0" w:line="240" w:lineRule="auto"/>
        <w:rPr>
          <w:rFonts w:cs="Times New Roman"/>
          <w:sz w:val="20"/>
          <w:szCs w:val="20"/>
        </w:rPr>
      </w:pPr>
      <w:proofErr w:type="spellStart"/>
      <w:r w:rsidRPr="00493755">
        <w:rPr>
          <w:rFonts w:cs="Times New Roman"/>
          <w:sz w:val="20"/>
          <w:szCs w:val="20"/>
        </w:rPr>
        <w:t>L.Juškeviča</w:t>
      </w:r>
      <w:proofErr w:type="spellEnd"/>
      <w:r w:rsidR="00623C96">
        <w:rPr>
          <w:rFonts w:cs="Times New Roman"/>
          <w:sz w:val="20"/>
          <w:szCs w:val="20"/>
        </w:rPr>
        <w:t>,</w:t>
      </w:r>
      <w:r w:rsidRPr="00493755">
        <w:rPr>
          <w:rFonts w:cs="Times New Roman"/>
          <w:sz w:val="20"/>
          <w:szCs w:val="20"/>
        </w:rPr>
        <w:t xml:space="preserve"> 67028055</w:t>
      </w:r>
    </w:p>
    <w:p w14:paraId="7BA60D3B" w14:textId="5D0693D9" w:rsidR="3606186A" w:rsidRPr="00493755" w:rsidRDefault="00BE1121" w:rsidP="3606186A">
      <w:pPr>
        <w:spacing w:after="0" w:line="240" w:lineRule="auto"/>
        <w:rPr>
          <w:rFonts w:cs="Times New Roman"/>
          <w:sz w:val="20"/>
          <w:szCs w:val="20"/>
        </w:rPr>
      </w:pPr>
      <w:hyperlink r:id="rId13" w:history="1">
        <w:r w:rsidR="008E6591" w:rsidRPr="00493755">
          <w:rPr>
            <w:rStyle w:val="Hyperlink"/>
            <w:rFonts w:cs="Times New Roman"/>
            <w:sz w:val="20"/>
            <w:szCs w:val="20"/>
          </w:rPr>
          <w:t>Ludmila.Juskevica@sam.gov.lv</w:t>
        </w:r>
      </w:hyperlink>
    </w:p>
    <w:p w14:paraId="3B0D8E2B" w14:textId="77777777" w:rsidR="008E6591" w:rsidRPr="00493755" w:rsidRDefault="008E6591" w:rsidP="3606186A">
      <w:pPr>
        <w:spacing w:after="0" w:line="240" w:lineRule="auto"/>
        <w:rPr>
          <w:rFonts w:cs="Times New Roman"/>
          <w:sz w:val="20"/>
          <w:szCs w:val="20"/>
        </w:rPr>
      </w:pPr>
    </w:p>
    <w:sectPr w:rsidR="008E6591" w:rsidRPr="00493755" w:rsidSect="008961CF">
      <w:headerReference w:type="default" r:id="rId14"/>
      <w:footerReference w:type="default" r:id="rId15"/>
      <w:pgSz w:w="11906" w:h="16838" w:code="9"/>
      <w:pgMar w:top="1701" w:right="1559" w:bottom="1701"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CFF4" w14:textId="77777777" w:rsidR="00BE1121" w:rsidRDefault="00BE1121" w:rsidP="00B95B0A">
      <w:pPr>
        <w:spacing w:after="0" w:line="240" w:lineRule="auto"/>
      </w:pPr>
      <w:r>
        <w:separator/>
      </w:r>
    </w:p>
  </w:endnote>
  <w:endnote w:type="continuationSeparator" w:id="0">
    <w:p w14:paraId="2BB5BB64" w14:textId="77777777" w:rsidR="00BE1121" w:rsidRDefault="00BE1121" w:rsidP="00B95B0A">
      <w:pPr>
        <w:spacing w:after="0" w:line="240" w:lineRule="auto"/>
      </w:pPr>
      <w:r>
        <w:continuationSeparator/>
      </w:r>
    </w:p>
  </w:endnote>
  <w:endnote w:type="continuationNotice" w:id="1">
    <w:p w14:paraId="142C3CE7" w14:textId="77777777" w:rsidR="00BE1121" w:rsidRDefault="00BE1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176447"/>
      <w:docPartObj>
        <w:docPartGallery w:val="Page Numbers (Bottom of Page)"/>
        <w:docPartUnique/>
      </w:docPartObj>
    </w:sdtPr>
    <w:sdtEndPr>
      <w:rPr>
        <w:noProof/>
        <w:sz w:val="24"/>
        <w:szCs w:val="20"/>
      </w:rPr>
    </w:sdtEndPr>
    <w:sdtContent>
      <w:p w14:paraId="767B4211" w14:textId="09B895C0" w:rsidR="004B0786" w:rsidRPr="008B1FA2" w:rsidRDefault="004B0786" w:rsidP="004B0786">
        <w:pPr>
          <w:pStyle w:val="Footer"/>
          <w:jc w:val="center"/>
          <w:rPr>
            <w:sz w:val="24"/>
            <w:szCs w:val="20"/>
          </w:rPr>
        </w:pPr>
        <w:r w:rsidRPr="008B1FA2">
          <w:rPr>
            <w:sz w:val="24"/>
            <w:szCs w:val="20"/>
          </w:rPr>
          <w:t>IEROBEŽOTA PIEEJAMĪBA</w:t>
        </w:r>
      </w:p>
      <w:p w14:paraId="45BC8D11" w14:textId="3D07F6E3" w:rsidR="00DA3EB9" w:rsidRPr="008B1FA2" w:rsidRDefault="00DA3EB9">
        <w:pPr>
          <w:pStyle w:val="Footer"/>
          <w:jc w:val="right"/>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r w:rsidR="004B0786" w:rsidRPr="008B1FA2">
          <w:rPr>
            <w:noProof/>
            <w:sz w:val="24"/>
            <w:szCs w:val="20"/>
          </w:rPr>
          <w:t>-</w:t>
        </w:r>
        <w:r w:rsidR="008961CF">
          <w:rPr>
            <w:noProof/>
            <w:sz w:val="24"/>
            <w:szCs w:val="20"/>
          </w:rPr>
          <w:t>8</w:t>
        </w:r>
      </w:p>
    </w:sdtContent>
  </w:sdt>
  <w:p w14:paraId="242D00CB" w14:textId="467C7146" w:rsidR="00290C84" w:rsidRPr="004B0786" w:rsidRDefault="00DA3EB9" w:rsidP="00DA3EB9">
    <w:pPr>
      <w:pStyle w:val="Footer"/>
      <w:tabs>
        <w:tab w:val="left" w:pos="225"/>
      </w:tabs>
      <w:rPr>
        <w:sz w:val="20"/>
        <w:szCs w:val="20"/>
      </w:rPr>
    </w:pPr>
    <w:r w:rsidRPr="004B0786">
      <w:rPr>
        <w:sz w:val="20"/>
        <w:szCs w:val="20"/>
      </w:rPr>
      <w:t>SMzin_</w:t>
    </w:r>
    <w:r w:rsidR="00D2026C">
      <w:rPr>
        <w:sz w:val="20"/>
        <w:szCs w:val="20"/>
      </w:rPr>
      <w:t>3103</w:t>
    </w:r>
    <w:r w:rsidR="000E51C8">
      <w:rPr>
        <w:sz w:val="20"/>
        <w:szCs w:val="20"/>
      </w:rPr>
      <w:t>2022</w:t>
    </w:r>
    <w:r w:rsidR="004B0786">
      <w:rPr>
        <w:sz w:val="20"/>
        <w:szCs w:val="20"/>
      </w:rPr>
      <w:t>_</w:t>
    </w:r>
    <w:r w:rsidR="000E51C8">
      <w:rPr>
        <w:sz w:val="20"/>
        <w:szCs w:val="20"/>
      </w:rPr>
      <w:t>RB_Progress</w:t>
    </w:r>
    <w:r w:rsidRPr="004B0786">
      <w:rPr>
        <w:sz w:val="20"/>
        <w:szCs w:val="20"/>
      </w:rPr>
      <w:tab/>
    </w:r>
    <w:r w:rsidRPr="004B078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ECB7" w14:textId="77777777" w:rsidR="00BE1121" w:rsidRDefault="00BE1121" w:rsidP="00B95B0A">
      <w:pPr>
        <w:spacing w:after="0" w:line="240" w:lineRule="auto"/>
      </w:pPr>
      <w:r>
        <w:separator/>
      </w:r>
    </w:p>
  </w:footnote>
  <w:footnote w:type="continuationSeparator" w:id="0">
    <w:p w14:paraId="37B432BF" w14:textId="77777777" w:rsidR="00BE1121" w:rsidRDefault="00BE1121" w:rsidP="00B95B0A">
      <w:pPr>
        <w:spacing w:after="0" w:line="240" w:lineRule="auto"/>
      </w:pPr>
      <w:r>
        <w:continuationSeparator/>
      </w:r>
    </w:p>
  </w:footnote>
  <w:footnote w:type="continuationNotice" w:id="1">
    <w:p w14:paraId="32F7EB76" w14:textId="77777777" w:rsidR="00BE1121" w:rsidRDefault="00BE1121">
      <w:pPr>
        <w:spacing w:after="0" w:line="240" w:lineRule="auto"/>
      </w:pPr>
    </w:p>
  </w:footnote>
  <w:footnote w:id="2">
    <w:p w14:paraId="3D7D4DA3" w14:textId="1C792D28" w:rsidR="3606186A" w:rsidRPr="00983058" w:rsidRDefault="3606186A" w:rsidP="004A209D">
      <w:pPr>
        <w:pStyle w:val="FootnoteText"/>
        <w:rPr>
          <w:lang w:val="lv"/>
        </w:rPr>
      </w:pPr>
      <w:r w:rsidRPr="3606186A">
        <w:rPr>
          <w:rStyle w:val="FootnoteReference"/>
        </w:rPr>
        <w:footnoteRef/>
      </w:r>
      <w:r w:rsidRPr="3606186A">
        <w:t xml:space="preserve"> </w:t>
      </w:r>
      <w:r w:rsidRPr="004A209D">
        <w:rPr>
          <w:lang w:val="lv"/>
        </w:rPr>
        <w:t>MK 2020. gada 27. augusta rīkojums Nr. 478 "</w:t>
      </w:r>
      <w:r w:rsidRPr="00983058">
        <w:rPr>
          <w:lang w:val="lv"/>
        </w:rPr>
        <w:t>Par konceptuālo ziņojumu "Par Rail Baltica publiskās lietošanas dzelzceļa infrastruktūras pārvaldību"" (prot. Nr. 47 79. §).</w:t>
      </w:r>
    </w:p>
  </w:footnote>
  <w:footnote w:id="3">
    <w:p w14:paraId="50A92F56" w14:textId="7A3995DF" w:rsidR="3606186A" w:rsidRPr="00983058" w:rsidRDefault="3606186A" w:rsidP="004A209D">
      <w:pPr>
        <w:pStyle w:val="FootnoteText"/>
        <w:rPr>
          <w:lang w:val="lv"/>
        </w:rPr>
      </w:pPr>
      <w:r w:rsidRPr="00983058">
        <w:rPr>
          <w:rStyle w:val="FootnoteReference"/>
        </w:rPr>
        <w:footnoteRef/>
      </w:r>
      <w:r w:rsidRPr="00983058">
        <w:t xml:space="preserve"> </w:t>
      </w:r>
      <w:r w:rsidRPr="00983058">
        <w:rPr>
          <w:lang w:val="lv"/>
        </w:rPr>
        <w:t>MK 2021. gada 18. marta sēdē izskatīts informatīvais ziņojums "Par Rail Baltica infrastruktūras pārvaldītāja attīstības plānu" (prot. Nr. 28 51. §); MK 2021. gada 16. novembra sēdē izskatīts informatīvais ziņojums "Par Rail Baltica infrastruktūras pārvaldības modeļa izveides progresu" (prot. Nr. 75 69. §).</w:t>
      </w:r>
    </w:p>
  </w:footnote>
  <w:footnote w:id="4">
    <w:p w14:paraId="7A145F61" w14:textId="44018979" w:rsidR="3606186A" w:rsidRDefault="3606186A" w:rsidP="004A209D">
      <w:pPr>
        <w:pStyle w:val="FootnoteText"/>
        <w:rPr>
          <w:lang w:val="lv"/>
        </w:rPr>
      </w:pPr>
      <w:r w:rsidRPr="00983058">
        <w:rPr>
          <w:rStyle w:val="FootnoteReference"/>
        </w:rPr>
        <w:footnoteRef/>
      </w:r>
      <w:r w:rsidRPr="00983058">
        <w:t xml:space="preserve"> </w:t>
      </w:r>
      <w:r w:rsidRPr="00983058">
        <w:rPr>
          <w:lang w:val="lv"/>
        </w:rPr>
        <w:t xml:space="preserve">Pieejams: </w:t>
      </w:r>
      <w:hyperlink r:id="rId1" w:history="1">
        <w:r w:rsidRPr="00983058">
          <w:rPr>
            <w:rStyle w:val="Hyperlink"/>
            <w:lang w:val="lv"/>
          </w:rPr>
          <w:t>https://edzl.lv/storage/uploads/Jv3DkLEWKU4AfSbKKXHYov2jCxQa7oKzbGgAfolk.pdf</w:t>
        </w:r>
      </w:hyperlink>
      <w:r w:rsidRPr="00983058">
        <w:rPr>
          <w:lang w:val="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4A7B" w14:textId="7DDB474F" w:rsidR="004B0786" w:rsidRPr="008B1FA2" w:rsidRDefault="004B0786" w:rsidP="004B0786">
    <w:pPr>
      <w:pStyle w:val="Header"/>
      <w:jc w:val="center"/>
      <w:rPr>
        <w:sz w:val="24"/>
        <w:szCs w:val="20"/>
      </w:rPr>
    </w:pPr>
    <w:r w:rsidRPr="008B1FA2">
      <w:rPr>
        <w:sz w:val="24"/>
        <w:szCs w:val="20"/>
      </w:rPr>
      <w:t>IEROBEŽOTA PIEEJAMĪBA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D785C"/>
    <w:multiLevelType w:val="hybridMultilevel"/>
    <w:tmpl w:val="5F523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826A4"/>
    <w:multiLevelType w:val="hybridMultilevel"/>
    <w:tmpl w:val="A9B05C74"/>
    <w:lvl w:ilvl="0" w:tplc="26F63146">
      <w:start w:val="9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2"/>
  </w:num>
  <w:num w:numId="4">
    <w:abstractNumId w:val="25"/>
  </w:num>
  <w:num w:numId="5">
    <w:abstractNumId w:val="1"/>
  </w:num>
  <w:num w:numId="6">
    <w:abstractNumId w:val="19"/>
  </w:num>
  <w:num w:numId="7">
    <w:abstractNumId w:val="9"/>
  </w:num>
  <w:num w:numId="8">
    <w:abstractNumId w:val="29"/>
  </w:num>
  <w:num w:numId="9">
    <w:abstractNumId w:val="21"/>
  </w:num>
  <w:num w:numId="10">
    <w:abstractNumId w:val="10"/>
  </w:num>
  <w:num w:numId="11">
    <w:abstractNumId w:val="26"/>
  </w:num>
  <w:num w:numId="12">
    <w:abstractNumId w:val="24"/>
  </w:num>
  <w:num w:numId="13">
    <w:abstractNumId w:val="7"/>
  </w:num>
  <w:num w:numId="14">
    <w:abstractNumId w:val="8"/>
  </w:num>
  <w:num w:numId="15">
    <w:abstractNumId w:val="18"/>
  </w:num>
  <w:num w:numId="16">
    <w:abstractNumId w:val="11"/>
  </w:num>
  <w:num w:numId="17">
    <w:abstractNumId w:val="2"/>
  </w:num>
  <w:num w:numId="18">
    <w:abstractNumId w:val="3"/>
  </w:num>
  <w:num w:numId="19">
    <w:abstractNumId w:val="27"/>
  </w:num>
  <w:num w:numId="20">
    <w:abstractNumId w:val="6"/>
  </w:num>
  <w:num w:numId="21">
    <w:abstractNumId w:val="17"/>
  </w:num>
  <w:num w:numId="22">
    <w:abstractNumId w:val="23"/>
  </w:num>
  <w:num w:numId="23">
    <w:abstractNumId w:val="20"/>
  </w:num>
  <w:num w:numId="24">
    <w:abstractNumId w:val="14"/>
  </w:num>
  <w:num w:numId="25">
    <w:abstractNumId w:val="13"/>
  </w:num>
  <w:num w:numId="26">
    <w:abstractNumId w:val="0"/>
  </w:num>
  <w:num w:numId="27">
    <w:abstractNumId w:val="5"/>
  </w:num>
  <w:num w:numId="28">
    <w:abstractNumId w:val="16"/>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3E79"/>
    <w:rsid w:val="00005BD6"/>
    <w:rsid w:val="00005C5E"/>
    <w:rsid w:val="0000647E"/>
    <w:rsid w:val="00006565"/>
    <w:rsid w:val="000069CB"/>
    <w:rsid w:val="000111D7"/>
    <w:rsid w:val="00011372"/>
    <w:rsid w:val="00013385"/>
    <w:rsid w:val="00015247"/>
    <w:rsid w:val="00015A98"/>
    <w:rsid w:val="0001729C"/>
    <w:rsid w:val="00017BAD"/>
    <w:rsid w:val="000201F8"/>
    <w:rsid w:val="00021559"/>
    <w:rsid w:val="00026A43"/>
    <w:rsid w:val="00026E1B"/>
    <w:rsid w:val="000311AB"/>
    <w:rsid w:val="000315B4"/>
    <w:rsid w:val="0003263D"/>
    <w:rsid w:val="00032FD7"/>
    <w:rsid w:val="000344C8"/>
    <w:rsid w:val="0003510D"/>
    <w:rsid w:val="000406D9"/>
    <w:rsid w:val="00040CE7"/>
    <w:rsid w:val="00042D57"/>
    <w:rsid w:val="00046DEF"/>
    <w:rsid w:val="00047DD7"/>
    <w:rsid w:val="000502DB"/>
    <w:rsid w:val="00050737"/>
    <w:rsid w:val="000516AF"/>
    <w:rsid w:val="00051BEE"/>
    <w:rsid w:val="0005218C"/>
    <w:rsid w:val="00054091"/>
    <w:rsid w:val="00055059"/>
    <w:rsid w:val="00055B47"/>
    <w:rsid w:val="00057626"/>
    <w:rsid w:val="00057CD8"/>
    <w:rsid w:val="000602C1"/>
    <w:rsid w:val="0006051E"/>
    <w:rsid w:val="00060D33"/>
    <w:rsid w:val="000619A6"/>
    <w:rsid w:val="00061C85"/>
    <w:rsid w:val="00064C3F"/>
    <w:rsid w:val="0006608B"/>
    <w:rsid w:val="0006642A"/>
    <w:rsid w:val="000668B4"/>
    <w:rsid w:val="0006768B"/>
    <w:rsid w:val="00071454"/>
    <w:rsid w:val="000730CA"/>
    <w:rsid w:val="00073916"/>
    <w:rsid w:val="00075867"/>
    <w:rsid w:val="000768CD"/>
    <w:rsid w:val="00077630"/>
    <w:rsid w:val="00077751"/>
    <w:rsid w:val="00077DAE"/>
    <w:rsid w:val="00081DD2"/>
    <w:rsid w:val="00081E7D"/>
    <w:rsid w:val="00082BFC"/>
    <w:rsid w:val="000830C1"/>
    <w:rsid w:val="000838BC"/>
    <w:rsid w:val="00083ABA"/>
    <w:rsid w:val="00083C82"/>
    <w:rsid w:val="00083C9A"/>
    <w:rsid w:val="00084137"/>
    <w:rsid w:val="00084897"/>
    <w:rsid w:val="00086331"/>
    <w:rsid w:val="00086B17"/>
    <w:rsid w:val="00087416"/>
    <w:rsid w:val="000875B2"/>
    <w:rsid w:val="00087E2C"/>
    <w:rsid w:val="00092537"/>
    <w:rsid w:val="00092C9F"/>
    <w:rsid w:val="00093BBC"/>
    <w:rsid w:val="000940FA"/>
    <w:rsid w:val="000948BA"/>
    <w:rsid w:val="0009577B"/>
    <w:rsid w:val="00095F74"/>
    <w:rsid w:val="00097A8A"/>
    <w:rsid w:val="000A0183"/>
    <w:rsid w:val="000A1679"/>
    <w:rsid w:val="000A2353"/>
    <w:rsid w:val="000A2E44"/>
    <w:rsid w:val="000B0B6C"/>
    <w:rsid w:val="000B123D"/>
    <w:rsid w:val="000B30B1"/>
    <w:rsid w:val="000B4D8B"/>
    <w:rsid w:val="000B51EA"/>
    <w:rsid w:val="000B55CF"/>
    <w:rsid w:val="000B5822"/>
    <w:rsid w:val="000B5928"/>
    <w:rsid w:val="000B6F04"/>
    <w:rsid w:val="000B70C9"/>
    <w:rsid w:val="000B7261"/>
    <w:rsid w:val="000B7C41"/>
    <w:rsid w:val="000C0461"/>
    <w:rsid w:val="000C1B3C"/>
    <w:rsid w:val="000C1D9E"/>
    <w:rsid w:val="000C1E77"/>
    <w:rsid w:val="000C2708"/>
    <w:rsid w:val="000C45FB"/>
    <w:rsid w:val="000C496C"/>
    <w:rsid w:val="000C7E8D"/>
    <w:rsid w:val="000C7FD8"/>
    <w:rsid w:val="000D0B29"/>
    <w:rsid w:val="000D1C60"/>
    <w:rsid w:val="000D30E5"/>
    <w:rsid w:val="000D3322"/>
    <w:rsid w:val="000D36BE"/>
    <w:rsid w:val="000D3A62"/>
    <w:rsid w:val="000D419A"/>
    <w:rsid w:val="000D4476"/>
    <w:rsid w:val="000D4B5F"/>
    <w:rsid w:val="000D6189"/>
    <w:rsid w:val="000D647B"/>
    <w:rsid w:val="000E03DD"/>
    <w:rsid w:val="000E261B"/>
    <w:rsid w:val="000E51C8"/>
    <w:rsid w:val="000E730C"/>
    <w:rsid w:val="000E7590"/>
    <w:rsid w:val="000F0103"/>
    <w:rsid w:val="000F0E72"/>
    <w:rsid w:val="000F1084"/>
    <w:rsid w:val="000F14E7"/>
    <w:rsid w:val="000F1D9A"/>
    <w:rsid w:val="000F2289"/>
    <w:rsid w:val="000F3A51"/>
    <w:rsid w:val="000F4893"/>
    <w:rsid w:val="000F5561"/>
    <w:rsid w:val="000F569D"/>
    <w:rsid w:val="000F5E2E"/>
    <w:rsid w:val="001004D3"/>
    <w:rsid w:val="00102937"/>
    <w:rsid w:val="001033B4"/>
    <w:rsid w:val="00104557"/>
    <w:rsid w:val="00105A2B"/>
    <w:rsid w:val="00105AB6"/>
    <w:rsid w:val="0010666A"/>
    <w:rsid w:val="00107AE5"/>
    <w:rsid w:val="00111057"/>
    <w:rsid w:val="00111DF3"/>
    <w:rsid w:val="00112FA3"/>
    <w:rsid w:val="00113F72"/>
    <w:rsid w:val="001140BB"/>
    <w:rsid w:val="001150FA"/>
    <w:rsid w:val="0011641B"/>
    <w:rsid w:val="001201A0"/>
    <w:rsid w:val="00120982"/>
    <w:rsid w:val="00121FBF"/>
    <w:rsid w:val="00124414"/>
    <w:rsid w:val="001301B3"/>
    <w:rsid w:val="001302F5"/>
    <w:rsid w:val="00130D7A"/>
    <w:rsid w:val="00131171"/>
    <w:rsid w:val="00132633"/>
    <w:rsid w:val="00134A88"/>
    <w:rsid w:val="00136858"/>
    <w:rsid w:val="0013728B"/>
    <w:rsid w:val="00140757"/>
    <w:rsid w:val="0014086C"/>
    <w:rsid w:val="001414CC"/>
    <w:rsid w:val="001422C5"/>
    <w:rsid w:val="00142888"/>
    <w:rsid w:val="00145559"/>
    <w:rsid w:val="0014571E"/>
    <w:rsid w:val="001471D6"/>
    <w:rsid w:val="00147334"/>
    <w:rsid w:val="001474F2"/>
    <w:rsid w:val="00151675"/>
    <w:rsid w:val="00151CBD"/>
    <w:rsid w:val="001538D8"/>
    <w:rsid w:val="00153A05"/>
    <w:rsid w:val="0015446D"/>
    <w:rsid w:val="00154E52"/>
    <w:rsid w:val="001563EA"/>
    <w:rsid w:val="001604CE"/>
    <w:rsid w:val="00161152"/>
    <w:rsid w:val="0016188C"/>
    <w:rsid w:val="00165704"/>
    <w:rsid w:val="00167304"/>
    <w:rsid w:val="00167E87"/>
    <w:rsid w:val="00167FB0"/>
    <w:rsid w:val="00170FCE"/>
    <w:rsid w:val="00172711"/>
    <w:rsid w:val="001733D6"/>
    <w:rsid w:val="0017386C"/>
    <w:rsid w:val="00176133"/>
    <w:rsid w:val="001768D7"/>
    <w:rsid w:val="001768FA"/>
    <w:rsid w:val="0018002F"/>
    <w:rsid w:val="001801F1"/>
    <w:rsid w:val="001815D1"/>
    <w:rsid w:val="00181DAA"/>
    <w:rsid w:val="0018371A"/>
    <w:rsid w:val="00183C5B"/>
    <w:rsid w:val="00184119"/>
    <w:rsid w:val="00185A3B"/>
    <w:rsid w:val="00185D09"/>
    <w:rsid w:val="001866A6"/>
    <w:rsid w:val="0018705B"/>
    <w:rsid w:val="001924F3"/>
    <w:rsid w:val="00195E25"/>
    <w:rsid w:val="00196A70"/>
    <w:rsid w:val="00196F49"/>
    <w:rsid w:val="001A0B4D"/>
    <w:rsid w:val="001A12C2"/>
    <w:rsid w:val="001A1559"/>
    <w:rsid w:val="001A39E6"/>
    <w:rsid w:val="001A51ED"/>
    <w:rsid w:val="001A5FA2"/>
    <w:rsid w:val="001A61BA"/>
    <w:rsid w:val="001A6278"/>
    <w:rsid w:val="001A6CB8"/>
    <w:rsid w:val="001A76EF"/>
    <w:rsid w:val="001B061B"/>
    <w:rsid w:val="001B176D"/>
    <w:rsid w:val="001B1F4E"/>
    <w:rsid w:val="001B2069"/>
    <w:rsid w:val="001B33BC"/>
    <w:rsid w:val="001B417C"/>
    <w:rsid w:val="001B4E59"/>
    <w:rsid w:val="001B5A0F"/>
    <w:rsid w:val="001B6F79"/>
    <w:rsid w:val="001B73F7"/>
    <w:rsid w:val="001C1FE3"/>
    <w:rsid w:val="001C2A4C"/>
    <w:rsid w:val="001C368F"/>
    <w:rsid w:val="001C4337"/>
    <w:rsid w:val="001C44EF"/>
    <w:rsid w:val="001C4AEB"/>
    <w:rsid w:val="001C64CE"/>
    <w:rsid w:val="001C6F77"/>
    <w:rsid w:val="001C7050"/>
    <w:rsid w:val="001C7857"/>
    <w:rsid w:val="001D0045"/>
    <w:rsid w:val="001D0D14"/>
    <w:rsid w:val="001D114A"/>
    <w:rsid w:val="001D19AB"/>
    <w:rsid w:val="001D1C6E"/>
    <w:rsid w:val="001D24A5"/>
    <w:rsid w:val="001D310C"/>
    <w:rsid w:val="001D4D48"/>
    <w:rsid w:val="001D4DD5"/>
    <w:rsid w:val="001D52E2"/>
    <w:rsid w:val="001E1894"/>
    <w:rsid w:val="001E1DCF"/>
    <w:rsid w:val="001E3C79"/>
    <w:rsid w:val="001E486C"/>
    <w:rsid w:val="001E5197"/>
    <w:rsid w:val="001E64DA"/>
    <w:rsid w:val="001E799C"/>
    <w:rsid w:val="001F16F6"/>
    <w:rsid w:val="001F177C"/>
    <w:rsid w:val="001F2128"/>
    <w:rsid w:val="001F2414"/>
    <w:rsid w:val="001F54C9"/>
    <w:rsid w:val="001F6F7D"/>
    <w:rsid w:val="00201F34"/>
    <w:rsid w:val="0020239A"/>
    <w:rsid w:val="00202DC2"/>
    <w:rsid w:val="00203577"/>
    <w:rsid w:val="0020361B"/>
    <w:rsid w:val="0020397F"/>
    <w:rsid w:val="00204D65"/>
    <w:rsid w:val="00204EFE"/>
    <w:rsid w:val="00207057"/>
    <w:rsid w:val="002074FA"/>
    <w:rsid w:val="00210223"/>
    <w:rsid w:val="0021193F"/>
    <w:rsid w:val="00212790"/>
    <w:rsid w:val="00214471"/>
    <w:rsid w:val="00215711"/>
    <w:rsid w:val="00215B46"/>
    <w:rsid w:val="00217197"/>
    <w:rsid w:val="0021728C"/>
    <w:rsid w:val="002211D5"/>
    <w:rsid w:val="00221CAE"/>
    <w:rsid w:val="00222D07"/>
    <w:rsid w:val="00222E84"/>
    <w:rsid w:val="00226AD7"/>
    <w:rsid w:val="00227B1C"/>
    <w:rsid w:val="00230155"/>
    <w:rsid w:val="00232761"/>
    <w:rsid w:val="00232E06"/>
    <w:rsid w:val="00232E1B"/>
    <w:rsid w:val="00233AE4"/>
    <w:rsid w:val="002342B1"/>
    <w:rsid w:val="002346FD"/>
    <w:rsid w:val="002349F8"/>
    <w:rsid w:val="002372B5"/>
    <w:rsid w:val="002412B3"/>
    <w:rsid w:val="00241ECC"/>
    <w:rsid w:val="0024298B"/>
    <w:rsid w:val="00244264"/>
    <w:rsid w:val="00244ADA"/>
    <w:rsid w:val="0024686F"/>
    <w:rsid w:val="00247148"/>
    <w:rsid w:val="00250525"/>
    <w:rsid w:val="00251792"/>
    <w:rsid w:val="00253481"/>
    <w:rsid w:val="00253808"/>
    <w:rsid w:val="00253B61"/>
    <w:rsid w:val="00253DB5"/>
    <w:rsid w:val="0025595B"/>
    <w:rsid w:val="00255F58"/>
    <w:rsid w:val="00260304"/>
    <w:rsid w:val="002609D8"/>
    <w:rsid w:val="00260EA0"/>
    <w:rsid w:val="00260ED0"/>
    <w:rsid w:val="002611E1"/>
    <w:rsid w:val="00263750"/>
    <w:rsid w:val="00264E97"/>
    <w:rsid w:val="00266A41"/>
    <w:rsid w:val="00266FC6"/>
    <w:rsid w:val="00267021"/>
    <w:rsid w:val="00267E33"/>
    <w:rsid w:val="002706A0"/>
    <w:rsid w:val="00270790"/>
    <w:rsid w:val="00270D09"/>
    <w:rsid w:val="002723EE"/>
    <w:rsid w:val="00272BE4"/>
    <w:rsid w:val="00272D51"/>
    <w:rsid w:val="00273FB6"/>
    <w:rsid w:val="002746CC"/>
    <w:rsid w:val="00274C76"/>
    <w:rsid w:val="00275064"/>
    <w:rsid w:val="00277062"/>
    <w:rsid w:val="0027719D"/>
    <w:rsid w:val="00277721"/>
    <w:rsid w:val="00277EDC"/>
    <w:rsid w:val="002805C5"/>
    <w:rsid w:val="002808EB"/>
    <w:rsid w:val="002837AD"/>
    <w:rsid w:val="00283AD2"/>
    <w:rsid w:val="00283DA2"/>
    <w:rsid w:val="002841ED"/>
    <w:rsid w:val="0028429F"/>
    <w:rsid w:val="00284593"/>
    <w:rsid w:val="00284CD9"/>
    <w:rsid w:val="002859BF"/>
    <w:rsid w:val="00286325"/>
    <w:rsid w:val="00286467"/>
    <w:rsid w:val="002868D2"/>
    <w:rsid w:val="0028775E"/>
    <w:rsid w:val="00290C84"/>
    <w:rsid w:val="00290E49"/>
    <w:rsid w:val="002928AA"/>
    <w:rsid w:val="00292B2D"/>
    <w:rsid w:val="00293187"/>
    <w:rsid w:val="0029465E"/>
    <w:rsid w:val="002958A5"/>
    <w:rsid w:val="00296A47"/>
    <w:rsid w:val="00296BB7"/>
    <w:rsid w:val="00297AC9"/>
    <w:rsid w:val="002A0BF5"/>
    <w:rsid w:val="002A7D59"/>
    <w:rsid w:val="002B43BD"/>
    <w:rsid w:val="002B445D"/>
    <w:rsid w:val="002B47C5"/>
    <w:rsid w:val="002B5AD2"/>
    <w:rsid w:val="002B67DD"/>
    <w:rsid w:val="002B7CD0"/>
    <w:rsid w:val="002C1670"/>
    <w:rsid w:val="002C2253"/>
    <w:rsid w:val="002C264E"/>
    <w:rsid w:val="002C34E3"/>
    <w:rsid w:val="002C3EBC"/>
    <w:rsid w:val="002C50D9"/>
    <w:rsid w:val="002C68EA"/>
    <w:rsid w:val="002D0B32"/>
    <w:rsid w:val="002D10AA"/>
    <w:rsid w:val="002D195E"/>
    <w:rsid w:val="002D59B4"/>
    <w:rsid w:val="002D5AA6"/>
    <w:rsid w:val="002D65EA"/>
    <w:rsid w:val="002E5B95"/>
    <w:rsid w:val="002E62F2"/>
    <w:rsid w:val="002E701E"/>
    <w:rsid w:val="002F0821"/>
    <w:rsid w:val="002F1369"/>
    <w:rsid w:val="002F17B7"/>
    <w:rsid w:val="002F1B5A"/>
    <w:rsid w:val="002F1DA5"/>
    <w:rsid w:val="002F3522"/>
    <w:rsid w:val="002F4532"/>
    <w:rsid w:val="002F5F0A"/>
    <w:rsid w:val="002F6593"/>
    <w:rsid w:val="002F7864"/>
    <w:rsid w:val="003003C8"/>
    <w:rsid w:val="003019B7"/>
    <w:rsid w:val="00301C68"/>
    <w:rsid w:val="00302002"/>
    <w:rsid w:val="003055CD"/>
    <w:rsid w:val="003075D3"/>
    <w:rsid w:val="00307A96"/>
    <w:rsid w:val="0031004A"/>
    <w:rsid w:val="00310355"/>
    <w:rsid w:val="0031102D"/>
    <w:rsid w:val="00311565"/>
    <w:rsid w:val="00311871"/>
    <w:rsid w:val="003124DF"/>
    <w:rsid w:val="00312854"/>
    <w:rsid w:val="00313513"/>
    <w:rsid w:val="00313ABB"/>
    <w:rsid w:val="00314F6C"/>
    <w:rsid w:val="0031572D"/>
    <w:rsid w:val="003161C0"/>
    <w:rsid w:val="0032113F"/>
    <w:rsid w:val="00322E5F"/>
    <w:rsid w:val="00324421"/>
    <w:rsid w:val="00324F1B"/>
    <w:rsid w:val="003250AE"/>
    <w:rsid w:val="0032636E"/>
    <w:rsid w:val="00326967"/>
    <w:rsid w:val="00327712"/>
    <w:rsid w:val="00327DE7"/>
    <w:rsid w:val="00330805"/>
    <w:rsid w:val="0033186A"/>
    <w:rsid w:val="0033198A"/>
    <w:rsid w:val="00331FCF"/>
    <w:rsid w:val="00334046"/>
    <w:rsid w:val="00334549"/>
    <w:rsid w:val="0033500C"/>
    <w:rsid w:val="003354AB"/>
    <w:rsid w:val="00335F75"/>
    <w:rsid w:val="003368F2"/>
    <w:rsid w:val="00336A93"/>
    <w:rsid w:val="003375DD"/>
    <w:rsid w:val="00337EFD"/>
    <w:rsid w:val="003401DD"/>
    <w:rsid w:val="003402BA"/>
    <w:rsid w:val="003414C3"/>
    <w:rsid w:val="00341D56"/>
    <w:rsid w:val="0034200A"/>
    <w:rsid w:val="003431B7"/>
    <w:rsid w:val="003446C6"/>
    <w:rsid w:val="00345D19"/>
    <w:rsid w:val="003467CA"/>
    <w:rsid w:val="003467E7"/>
    <w:rsid w:val="00347303"/>
    <w:rsid w:val="0034731D"/>
    <w:rsid w:val="00350756"/>
    <w:rsid w:val="00350A39"/>
    <w:rsid w:val="00351145"/>
    <w:rsid w:val="00352F7E"/>
    <w:rsid w:val="00355158"/>
    <w:rsid w:val="00355549"/>
    <w:rsid w:val="003558DE"/>
    <w:rsid w:val="00355BD2"/>
    <w:rsid w:val="00356EB4"/>
    <w:rsid w:val="00357DAD"/>
    <w:rsid w:val="00360310"/>
    <w:rsid w:val="0036132F"/>
    <w:rsid w:val="0036218E"/>
    <w:rsid w:val="0036229D"/>
    <w:rsid w:val="00362636"/>
    <w:rsid w:val="00363AE2"/>
    <w:rsid w:val="003642D1"/>
    <w:rsid w:val="00365135"/>
    <w:rsid w:val="00366F16"/>
    <w:rsid w:val="00366FDA"/>
    <w:rsid w:val="00367543"/>
    <w:rsid w:val="00371812"/>
    <w:rsid w:val="00371F15"/>
    <w:rsid w:val="00374B41"/>
    <w:rsid w:val="00374BCA"/>
    <w:rsid w:val="00375025"/>
    <w:rsid w:val="00375B5B"/>
    <w:rsid w:val="0037706F"/>
    <w:rsid w:val="003771B3"/>
    <w:rsid w:val="0038014F"/>
    <w:rsid w:val="0038138B"/>
    <w:rsid w:val="00383A10"/>
    <w:rsid w:val="0038402B"/>
    <w:rsid w:val="00384E69"/>
    <w:rsid w:val="0038517F"/>
    <w:rsid w:val="00386CDF"/>
    <w:rsid w:val="003870DC"/>
    <w:rsid w:val="00390079"/>
    <w:rsid w:val="003900A8"/>
    <w:rsid w:val="003909A4"/>
    <w:rsid w:val="00390C5B"/>
    <w:rsid w:val="00390D25"/>
    <w:rsid w:val="00391464"/>
    <w:rsid w:val="00391999"/>
    <w:rsid w:val="0039235E"/>
    <w:rsid w:val="00393966"/>
    <w:rsid w:val="003952D4"/>
    <w:rsid w:val="003965D0"/>
    <w:rsid w:val="00397828"/>
    <w:rsid w:val="003A0E83"/>
    <w:rsid w:val="003A1363"/>
    <w:rsid w:val="003A28BE"/>
    <w:rsid w:val="003A3DC4"/>
    <w:rsid w:val="003A3EE1"/>
    <w:rsid w:val="003A60ED"/>
    <w:rsid w:val="003A63D3"/>
    <w:rsid w:val="003A68C6"/>
    <w:rsid w:val="003A73D2"/>
    <w:rsid w:val="003B1109"/>
    <w:rsid w:val="003B41FB"/>
    <w:rsid w:val="003B44BF"/>
    <w:rsid w:val="003B7710"/>
    <w:rsid w:val="003C078F"/>
    <w:rsid w:val="003C1005"/>
    <w:rsid w:val="003C1065"/>
    <w:rsid w:val="003C1DFE"/>
    <w:rsid w:val="003C28E7"/>
    <w:rsid w:val="003C305F"/>
    <w:rsid w:val="003C3A80"/>
    <w:rsid w:val="003C5E18"/>
    <w:rsid w:val="003C69D0"/>
    <w:rsid w:val="003D014E"/>
    <w:rsid w:val="003D5BD7"/>
    <w:rsid w:val="003D7A31"/>
    <w:rsid w:val="003E040E"/>
    <w:rsid w:val="003E0A1F"/>
    <w:rsid w:val="003E184D"/>
    <w:rsid w:val="003E3316"/>
    <w:rsid w:val="003E349B"/>
    <w:rsid w:val="003E3ED3"/>
    <w:rsid w:val="003E4476"/>
    <w:rsid w:val="003E478C"/>
    <w:rsid w:val="003E61D4"/>
    <w:rsid w:val="003E6E21"/>
    <w:rsid w:val="003E6E23"/>
    <w:rsid w:val="003E79E1"/>
    <w:rsid w:val="003F1741"/>
    <w:rsid w:val="003F27B2"/>
    <w:rsid w:val="003F2BF1"/>
    <w:rsid w:val="003F4040"/>
    <w:rsid w:val="003F44CB"/>
    <w:rsid w:val="003F48EA"/>
    <w:rsid w:val="003F4BD2"/>
    <w:rsid w:val="003F59F6"/>
    <w:rsid w:val="00403054"/>
    <w:rsid w:val="00403779"/>
    <w:rsid w:val="004052D7"/>
    <w:rsid w:val="004056D1"/>
    <w:rsid w:val="00405E36"/>
    <w:rsid w:val="00406535"/>
    <w:rsid w:val="00411918"/>
    <w:rsid w:val="00416066"/>
    <w:rsid w:val="004161BC"/>
    <w:rsid w:val="004168C0"/>
    <w:rsid w:val="00416A69"/>
    <w:rsid w:val="0042037E"/>
    <w:rsid w:val="004203E6"/>
    <w:rsid w:val="00420766"/>
    <w:rsid w:val="0042269A"/>
    <w:rsid w:val="00423BAB"/>
    <w:rsid w:val="00424558"/>
    <w:rsid w:val="004245A2"/>
    <w:rsid w:val="004249B7"/>
    <w:rsid w:val="00424A7D"/>
    <w:rsid w:val="00430DA1"/>
    <w:rsid w:val="004310A6"/>
    <w:rsid w:val="0043199F"/>
    <w:rsid w:val="00431F4B"/>
    <w:rsid w:val="0043253B"/>
    <w:rsid w:val="004325A4"/>
    <w:rsid w:val="00434EA1"/>
    <w:rsid w:val="00435BB0"/>
    <w:rsid w:val="004360D6"/>
    <w:rsid w:val="00436F57"/>
    <w:rsid w:val="0044116B"/>
    <w:rsid w:val="00442640"/>
    <w:rsid w:val="00442F64"/>
    <w:rsid w:val="00443389"/>
    <w:rsid w:val="00445583"/>
    <w:rsid w:val="00445AE7"/>
    <w:rsid w:val="00446E2C"/>
    <w:rsid w:val="00447DFD"/>
    <w:rsid w:val="004503F9"/>
    <w:rsid w:val="00452DBC"/>
    <w:rsid w:val="00452FD0"/>
    <w:rsid w:val="0045306C"/>
    <w:rsid w:val="004530B4"/>
    <w:rsid w:val="004536D1"/>
    <w:rsid w:val="00454E9A"/>
    <w:rsid w:val="004556F1"/>
    <w:rsid w:val="004577ED"/>
    <w:rsid w:val="00457D5B"/>
    <w:rsid w:val="00460A71"/>
    <w:rsid w:val="00460ADD"/>
    <w:rsid w:val="004617F8"/>
    <w:rsid w:val="00461E56"/>
    <w:rsid w:val="00462ADB"/>
    <w:rsid w:val="00463B60"/>
    <w:rsid w:val="00464EC1"/>
    <w:rsid w:val="00465984"/>
    <w:rsid w:val="00466033"/>
    <w:rsid w:val="0046613A"/>
    <w:rsid w:val="00467AE1"/>
    <w:rsid w:val="0047067A"/>
    <w:rsid w:val="00470DB2"/>
    <w:rsid w:val="0047357A"/>
    <w:rsid w:val="00473A06"/>
    <w:rsid w:val="004752FA"/>
    <w:rsid w:val="004775F0"/>
    <w:rsid w:val="004807EC"/>
    <w:rsid w:val="00483417"/>
    <w:rsid w:val="00484F9B"/>
    <w:rsid w:val="004855D6"/>
    <w:rsid w:val="00485CF0"/>
    <w:rsid w:val="0048609E"/>
    <w:rsid w:val="0049164A"/>
    <w:rsid w:val="00491DA1"/>
    <w:rsid w:val="00492B97"/>
    <w:rsid w:val="00493755"/>
    <w:rsid w:val="00495055"/>
    <w:rsid w:val="004959CE"/>
    <w:rsid w:val="00497A00"/>
    <w:rsid w:val="004A0C13"/>
    <w:rsid w:val="004A1DFA"/>
    <w:rsid w:val="004A209D"/>
    <w:rsid w:val="004A2D0B"/>
    <w:rsid w:val="004A311B"/>
    <w:rsid w:val="004A3576"/>
    <w:rsid w:val="004A42E5"/>
    <w:rsid w:val="004A45ED"/>
    <w:rsid w:val="004A79DE"/>
    <w:rsid w:val="004B0786"/>
    <w:rsid w:val="004B0DDA"/>
    <w:rsid w:val="004B11AE"/>
    <w:rsid w:val="004B19BB"/>
    <w:rsid w:val="004B2C90"/>
    <w:rsid w:val="004B4114"/>
    <w:rsid w:val="004B5402"/>
    <w:rsid w:val="004B5FE5"/>
    <w:rsid w:val="004B7A72"/>
    <w:rsid w:val="004C269B"/>
    <w:rsid w:val="004C2E74"/>
    <w:rsid w:val="004C39BA"/>
    <w:rsid w:val="004C3C19"/>
    <w:rsid w:val="004C3C7A"/>
    <w:rsid w:val="004C4C32"/>
    <w:rsid w:val="004C7A8C"/>
    <w:rsid w:val="004D02BB"/>
    <w:rsid w:val="004D0422"/>
    <w:rsid w:val="004D12E5"/>
    <w:rsid w:val="004D42B9"/>
    <w:rsid w:val="004D44ED"/>
    <w:rsid w:val="004D5FB4"/>
    <w:rsid w:val="004D6BFE"/>
    <w:rsid w:val="004E2715"/>
    <w:rsid w:val="004E4DC7"/>
    <w:rsid w:val="004E5520"/>
    <w:rsid w:val="004E55B6"/>
    <w:rsid w:val="004F0136"/>
    <w:rsid w:val="004F0904"/>
    <w:rsid w:val="004F20D0"/>
    <w:rsid w:val="004F37C3"/>
    <w:rsid w:val="004F5AC9"/>
    <w:rsid w:val="004F64C6"/>
    <w:rsid w:val="004F6B1B"/>
    <w:rsid w:val="004F6C57"/>
    <w:rsid w:val="004F7A46"/>
    <w:rsid w:val="00500C9A"/>
    <w:rsid w:val="00501492"/>
    <w:rsid w:val="00501895"/>
    <w:rsid w:val="00502253"/>
    <w:rsid w:val="00502461"/>
    <w:rsid w:val="00503DB2"/>
    <w:rsid w:val="00505EE2"/>
    <w:rsid w:val="00506B5B"/>
    <w:rsid w:val="00507104"/>
    <w:rsid w:val="00507AFD"/>
    <w:rsid w:val="00510F0A"/>
    <w:rsid w:val="005111BD"/>
    <w:rsid w:val="00511301"/>
    <w:rsid w:val="005114A4"/>
    <w:rsid w:val="00513F23"/>
    <w:rsid w:val="00514900"/>
    <w:rsid w:val="0051518F"/>
    <w:rsid w:val="00516214"/>
    <w:rsid w:val="00517B5E"/>
    <w:rsid w:val="00517D61"/>
    <w:rsid w:val="00522B53"/>
    <w:rsid w:val="00525FDA"/>
    <w:rsid w:val="0053018F"/>
    <w:rsid w:val="0053070D"/>
    <w:rsid w:val="00531859"/>
    <w:rsid w:val="00531EED"/>
    <w:rsid w:val="0053279B"/>
    <w:rsid w:val="00534067"/>
    <w:rsid w:val="00534694"/>
    <w:rsid w:val="00534AB0"/>
    <w:rsid w:val="00534B96"/>
    <w:rsid w:val="00535B0E"/>
    <w:rsid w:val="00536876"/>
    <w:rsid w:val="00537B08"/>
    <w:rsid w:val="00537C12"/>
    <w:rsid w:val="005432A1"/>
    <w:rsid w:val="00543578"/>
    <w:rsid w:val="00543912"/>
    <w:rsid w:val="005468B7"/>
    <w:rsid w:val="00546ABC"/>
    <w:rsid w:val="00547388"/>
    <w:rsid w:val="0054772D"/>
    <w:rsid w:val="005525E8"/>
    <w:rsid w:val="0055288A"/>
    <w:rsid w:val="005567C4"/>
    <w:rsid w:val="00557A5C"/>
    <w:rsid w:val="00557CE4"/>
    <w:rsid w:val="00557E7C"/>
    <w:rsid w:val="00560B14"/>
    <w:rsid w:val="005612D6"/>
    <w:rsid w:val="00561C97"/>
    <w:rsid w:val="0056232A"/>
    <w:rsid w:val="00563A50"/>
    <w:rsid w:val="005640E1"/>
    <w:rsid w:val="00564E0E"/>
    <w:rsid w:val="00565479"/>
    <w:rsid w:val="005659C1"/>
    <w:rsid w:val="00566E6F"/>
    <w:rsid w:val="005670FB"/>
    <w:rsid w:val="00567E43"/>
    <w:rsid w:val="005708A6"/>
    <w:rsid w:val="00571F37"/>
    <w:rsid w:val="005743AF"/>
    <w:rsid w:val="00577AA3"/>
    <w:rsid w:val="00577F0E"/>
    <w:rsid w:val="00582B81"/>
    <w:rsid w:val="00582F74"/>
    <w:rsid w:val="00583AB4"/>
    <w:rsid w:val="00584063"/>
    <w:rsid w:val="00591B7B"/>
    <w:rsid w:val="00593324"/>
    <w:rsid w:val="0059366E"/>
    <w:rsid w:val="00594B4D"/>
    <w:rsid w:val="00596C4F"/>
    <w:rsid w:val="005A0082"/>
    <w:rsid w:val="005A0DB2"/>
    <w:rsid w:val="005A1002"/>
    <w:rsid w:val="005A1942"/>
    <w:rsid w:val="005A220D"/>
    <w:rsid w:val="005A23A5"/>
    <w:rsid w:val="005A24DD"/>
    <w:rsid w:val="005A2D82"/>
    <w:rsid w:val="005A3146"/>
    <w:rsid w:val="005A4158"/>
    <w:rsid w:val="005A483B"/>
    <w:rsid w:val="005A48F7"/>
    <w:rsid w:val="005A6BDA"/>
    <w:rsid w:val="005A73DD"/>
    <w:rsid w:val="005A7A65"/>
    <w:rsid w:val="005B4F7E"/>
    <w:rsid w:val="005B5669"/>
    <w:rsid w:val="005B5933"/>
    <w:rsid w:val="005B5D68"/>
    <w:rsid w:val="005B6674"/>
    <w:rsid w:val="005B6878"/>
    <w:rsid w:val="005C0D98"/>
    <w:rsid w:val="005C37A2"/>
    <w:rsid w:val="005C3D86"/>
    <w:rsid w:val="005C40D6"/>
    <w:rsid w:val="005C43FB"/>
    <w:rsid w:val="005C77C6"/>
    <w:rsid w:val="005D0C0F"/>
    <w:rsid w:val="005D0D85"/>
    <w:rsid w:val="005D1A5E"/>
    <w:rsid w:val="005D1F67"/>
    <w:rsid w:val="005D3952"/>
    <w:rsid w:val="005D3F7A"/>
    <w:rsid w:val="005D3FF9"/>
    <w:rsid w:val="005D448C"/>
    <w:rsid w:val="005D58CD"/>
    <w:rsid w:val="005D6C04"/>
    <w:rsid w:val="005E3AEC"/>
    <w:rsid w:val="005E3FCD"/>
    <w:rsid w:val="005E4CC0"/>
    <w:rsid w:val="005E62B3"/>
    <w:rsid w:val="005E7560"/>
    <w:rsid w:val="005E7613"/>
    <w:rsid w:val="005F02DF"/>
    <w:rsid w:val="005F0FC0"/>
    <w:rsid w:val="005F1B6D"/>
    <w:rsid w:val="005F243B"/>
    <w:rsid w:val="005F2957"/>
    <w:rsid w:val="005F4A57"/>
    <w:rsid w:val="005F6863"/>
    <w:rsid w:val="005F6931"/>
    <w:rsid w:val="005F701E"/>
    <w:rsid w:val="005F7B36"/>
    <w:rsid w:val="00600256"/>
    <w:rsid w:val="0060070A"/>
    <w:rsid w:val="00601594"/>
    <w:rsid w:val="00601FC7"/>
    <w:rsid w:val="00602266"/>
    <w:rsid w:val="006027B5"/>
    <w:rsid w:val="0060337E"/>
    <w:rsid w:val="00603390"/>
    <w:rsid w:val="00604AF6"/>
    <w:rsid w:val="00604C03"/>
    <w:rsid w:val="00605D00"/>
    <w:rsid w:val="00605F11"/>
    <w:rsid w:val="0060605B"/>
    <w:rsid w:val="00606683"/>
    <w:rsid w:val="00607DF5"/>
    <w:rsid w:val="00611F42"/>
    <w:rsid w:val="006131C2"/>
    <w:rsid w:val="0061435A"/>
    <w:rsid w:val="00614AA1"/>
    <w:rsid w:val="00615F7F"/>
    <w:rsid w:val="00616D75"/>
    <w:rsid w:val="00617320"/>
    <w:rsid w:val="00617333"/>
    <w:rsid w:val="006228F5"/>
    <w:rsid w:val="00623C96"/>
    <w:rsid w:val="00626E2E"/>
    <w:rsid w:val="00631208"/>
    <w:rsid w:val="00633A2C"/>
    <w:rsid w:val="00634071"/>
    <w:rsid w:val="00634A74"/>
    <w:rsid w:val="00635D93"/>
    <w:rsid w:val="006365FF"/>
    <w:rsid w:val="00636CDD"/>
    <w:rsid w:val="00637488"/>
    <w:rsid w:val="00640FB2"/>
    <w:rsid w:val="00641A20"/>
    <w:rsid w:val="0064243A"/>
    <w:rsid w:val="006424F2"/>
    <w:rsid w:val="00642BED"/>
    <w:rsid w:val="006434D5"/>
    <w:rsid w:val="0064370B"/>
    <w:rsid w:val="00643939"/>
    <w:rsid w:val="00643B64"/>
    <w:rsid w:val="00644575"/>
    <w:rsid w:val="00644DA3"/>
    <w:rsid w:val="00645A19"/>
    <w:rsid w:val="006512E6"/>
    <w:rsid w:val="0065239B"/>
    <w:rsid w:val="00652A78"/>
    <w:rsid w:val="00652CB3"/>
    <w:rsid w:val="0065363E"/>
    <w:rsid w:val="00653EFE"/>
    <w:rsid w:val="006541AB"/>
    <w:rsid w:val="006553BB"/>
    <w:rsid w:val="00657714"/>
    <w:rsid w:val="0065A860"/>
    <w:rsid w:val="00660101"/>
    <w:rsid w:val="00663CAB"/>
    <w:rsid w:val="006653E5"/>
    <w:rsid w:val="00667103"/>
    <w:rsid w:val="006726E9"/>
    <w:rsid w:val="006764E7"/>
    <w:rsid w:val="00680B4B"/>
    <w:rsid w:val="00680CBF"/>
    <w:rsid w:val="00682FA9"/>
    <w:rsid w:val="00683D95"/>
    <w:rsid w:val="0069054B"/>
    <w:rsid w:val="0069060C"/>
    <w:rsid w:val="00690923"/>
    <w:rsid w:val="00691882"/>
    <w:rsid w:val="00692300"/>
    <w:rsid w:val="00692A84"/>
    <w:rsid w:val="00692B2F"/>
    <w:rsid w:val="0069340C"/>
    <w:rsid w:val="00694A31"/>
    <w:rsid w:val="006951E3"/>
    <w:rsid w:val="00697696"/>
    <w:rsid w:val="006A0E26"/>
    <w:rsid w:val="006A175A"/>
    <w:rsid w:val="006A1E87"/>
    <w:rsid w:val="006A2B34"/>
    <w:rsid w:val="006A3E6E"/>
    <w:rsid w:val="006A3F49"/>
    <w:rsid w:val="006A4186"/>
    <w:rsid w:val="006A710E"/>
    <w:rsid w:val="006A7EEE"/>
    <w:rsid w:val="006B02FB"/>
    <w:rsid w:val="006B1818"/>
    <w:rsid w:val="006B218A"/>
    <w:rsid w:val="006B428D"/>
    <w:rsid w:val="006B53D1"/>
    <w:rsid w:val="006B544D"/>
    <w:rsid w:val="006B5812"/>
    <w:rsid w:val="006B5F3F"/>
    <w:rsid w:val="006B651E"/>
    <w:rsid w:val="006B6B9B"/>
    <w:rsid w:val="006B6CDF"/>
    <w:rsid w:val="006B6D6F"/>
    <w:rsid w:val="006B6D9A"/>
    <w:rsid w:val="006B73F2"/>
    <w:rsid w:val="006C0922"/>
    <w:rsid w:val="006C3AA5"/>
    <w:rsid w:val="006C437D"/>
    <w:rsid w:val="006C4A93"/>
    <w:rsid w:val="006C5C1B"/>
    <w:rsid w:val="006C6A45"/>
    <w:rsid w:val="006C7576"/>
    <w:rsid w:val="006C7AB2"/>
    <w:rsid w:val="006D1054"/>
    <w:rsid w:val="006D1DD3"/>
    <w:rsid w:val="006D275D"/>
    <w:rsid w:val="006D3181"/>
    <w:rsid w:val="006D64F7"/>
    <w:rsid w:val="006D6985"/>
    <w:rsid w:val="006D7202"/>
    <w:rsid w:val="006D72D7"/>
    <w:rsid w:val="006D72DB"/>
    <w:rsid w:val="006E047D"/>
    <w:rsid w:val="006E23FF"/>
    <w:rsid w:val="006E459A"/>
    <w:rsid w:val="006E4A58"/>
    <w:rsid w:val="006E5F41"/>
    <w:rsid w:val="006E62EB"/>
    <w:rsid w:val="006E65A3"/>
    <w:rsid w:val="006E6D8C"/>
    <w:rsid w:val="006F0424"/>
    <w:rsid w:val="006F06E8"/>
    <w:rsid w:val="006F0CBA"/>
    <w:rsid w:val="006F1116"/>
    <w:rsid w:val="006F114F"/>
    <w:rsid w:val="006F16FC"/>
    <w:rsid w:val="006F31F1"/>
    <w:rsid w:val="006F6F70"/>
    <w:rsid w:val="00700080"/>
    <w:rsid w:val="00700094"/>
    <w:rsid w:val="00701C3D"/>
    <w:rsid w:val="0070216C"/>
    <w:rsid w:val="00702399"/>
    <w:rsid w:val="007100A4"/>
    <w:rsid w:val="007101D8"/>
    <w:rsid w:val="0071239B"/>
    <w:rsid w:val="00713E22"/>
    <w:rsid w:val="00714993"/>
    <w:rsid w:val="00715E5D"/>
    <w:rsid w:val="00715E8A"/>
    <w:rsid w:val="007165F9"/>
    <w:rsid w:val="007168EE"/>
    <w:rsid w:val="00720BD6"/>
    <w:rsid w:val="007221B6"/>
    <w:rsid w:val="007221EF"/>
    <w:rsid w:val="00722411"/>
    <w:rsid w:val="0072396F"/>
    <w:rsid w:val="00724739"/>
    <w:rsid w:val="00732325"/>
    <w:rsid w:val="0073264C"/>
    <w:rsid w:val="00732D9F"/>
    <w:rsid w:val="00732F18"/>
    <w:rsid w:val="00733013"/>
    <w:rsid w:val="00733236"/>
    <w:rsid w:val="00733436"/>
    <w:rsid w:val="00734658"/>
    <w:rsid w:val="00735407"/>
    <w:rsid w:val="00735490"/>
    <w:rsid w:val="0073596E"/>
    <w:rsid w:val="00735A81"/>
    <w:rsid w:val="00736866"/>
    <w:rsid w:val="007372F2"/>
    <w:rsid w:val="00737558"/>
    <w:rsid w:val="00737793"/>
    <w:rsid w:val="00740760"/>
    <w:rsid w:val="007419E9"/>
    <w:rsid w:val="00741F63"/>
    <w:rsid w:val="00742D08"/>
    <w:rsid w:val="007430B3"/>
    <w:rsid w:val="00743694"/>
    <w:rsid w:val="00744C05"/>
    <w:rsid w:val="007465D8"/>
    <w:rsid w:val="00747371"/>
    <w:rsid w:val="00747376"/>
    <w:rsid w:val="007475B8"/>
    <w:rsid w:val="007521B4"/>
    <w:rsid w:val="00752830"/>
    <w:rsid w:val="00753289"/>
    <w:rsid w:val="00753A69"/>
    <w:rsid w:val="007545BF"/>
    <w:rsid w:val="007564EE"/>
    <w:rsid w:val="007568BB"/>
    <w:rsid w:val="00757295"/>
    <w:rsid w:val="00757640"/>
    <w:rsid w:val="00760898"/>
    <w:rsid w:val="00761BEE"/>
    <w:rsid w:val="00761EF6"/>
    <w:rsid w:val="00762971"/>
    <w:rsid w:val="00762AB3"/>
    <w:rsid w:val="00762FC3"/>
    <w:rsid w:val="007657CC"/>
    <w:rsid w:val="00765DAE"/>
    <w:rsid w:val="007665A4"/>
    <w:rsid w:val="007703DA"/>
    <w:rsid w:val="0077393F"/>
    <w:rsid w:val="00775235"/>
    <w:rsid w:val="007753AF"/>
    <w:rsid w:val="00776E06"/>
    <w:rsid w:val="00776F68"/>
    <w:rsid w:val="00777649"/>
    <w:rsid w:val="0078038D"/>
    <w:rsid w:val="00781C9E"/>
    <w:rsid w:val="00783B00"/>
    <w:rsid w:val="00783EF8"/>
    <w:rsid w:val="00784A73"/>
    <w:rsid w:val="00785A62"/>
    <w:rsid w:val="00786F3A"/>
    <w:rsid w:val="00787C39"/>
    <w:rsid w:val="0079023E"/>
    <w:rsid w:val="007902F8"/>
    <w:rsid w:val="0079080C"/>
    <w:rsid w:val="007916D9"/>
    <w:rsid w:val="00791DB8"/>
    <w:rsid w:val="00792218"/>
    <w:rsid w:val="007938D0"/>
    <w:rsid w:val="00795769"/>
    <w:rsid w:val="0079649D"/>
    <w:rsid w:val="0079716D"/>
    <w:rsid w:val="007A09B7"/>
    <w:rsid w:val="007A55BD"/>
    <w:rsid w:val="007A5FD5"/>
    <w:rsid w:val="007A75E9"/>
    <w:rsid w:val="007B18E2"/>
    <w:rsid w:val="007B3C93"/>
    <w:rsid w:val="007B633A"/>
    <w:rsid w:val="007B726E"/>
    <w:rsid w:val="007C01C8"/>
    <w:rsid w:val="007C033B"/>
    <w:rsid w:val="007C036B"/>
    <w:rsid w:val="007C2B42"/>
    <w:rsid w:val="007C4934"/>
    <w:rsid w:val="007C7972"/>
    <w:rsid w:val="007D2D94"/>
    <w:rsid w:val="007D3361"/>
    <w:rsid w:val="007D364D"/>
    <w:rsid w:val="007D3BC7"/>
    <w:rsid w:val="007D4325"/>
    <w:rsid w:val="007D4EAF"/>
    <w:rsid w:val="007D60CD"/>
    <w:rsid w:val="007D647A"/>
    <w:rsid w:val="007D7676"/>
    <w:rsid w:val="007D7FD1"/>
    <w:rsid w:val="007E1E2A"/>
    <w:rsid w:val="007E2801"/>
    <w:rsid w:val="007E2D0E"/>
    <w:rsid w:val="007E3874"/>
    <w:rsid w:val="007E7655"/>
    <w:rsid w:val="007E7BF7"/>
    <w:rsid w:val="007F1082"/>
    <w:rsid w:val="007F1878"/>
    <w:rsid w:val="007F1A6B"/>
    <w:rsid w:val="007F1E55"/>
    <w:rsid w:val="007F232E"/>
    <w:rsid w:val="007F5D17"/>
    <w:rsid w:val="007F7D33"/>
    <w:rsid w:val="00800DCA"/>
    <w:rsid w:val="00800E67"/>
    <w:rsid w:val="0080106D"/>
    <w:rsid w:val="0080188B"/>
    <w:rsid w:val="0080204E"/>
    <w:rsid w:val="008030CE"/>
    <w:rsid w:val="008037AF"/>
    <w:rsid w:val="00803942"/>
    <w:rsid w:val="0080550B"/>
    <w:rsid w:val="0080653E"/>
    <w:rsid w:val="00806A98"/>
    <w:rsid w:val="00806BEE"/>
    <w:rsid w:val="008070D4"/>
    <w:rsid w:val="008112AE"/>
    <w:rsid w:val="00811934"/>
    <w:rsid w:val="00812380"/>
    <w:rsid w:val="00813485"/>
    <w:rsid w:val="00814532"/>
    <w:rsid w:val="00814D8E"/>
    <w:rsid w:val="00815EDD"/>
    <w:rsid w:val="008162B7"/>
    <w:rsid w:val="008164D2"/>
    <w:rsid w:val="00821096"/>
    <w:rsid w:val="00821EE5"/>
    <w:rsid w:val="00823918"/>
    <w:rsid w:val="0082489E"/>
    <w:rsid w:val="00825494"/>
    <w:rsid w:val="008264CB"/>
    <w:rsid w:val="00827F73"/>
    <w:rsid w:val="00831109"/>
    <w:rsid w:val="00831DDD"/>
    <w:rsid w:val="00833422"/>
    <w:rsid w:val="008348FB"/>
    <w:rsid w:val="00836CCF"/>
    <w:rsid w:val="00841907"/>
    <w:rsid w:val="00846065"/>
    <w:rsid w:val="00846108"/>
    <w:rsid w:val="0084634C"/>
    <w:rsid w:val="0084757F"/>
    <w:rsid w:val="0085064F"/>
    <w:rsid w:val="00851AF0"/>
    <w:rsid w:val="00854E7A"/>
    <w:rsid w:val="00854E7B"/>
    <w:rsid w:val="00855CF3"/>
    <w:rsid w:val="00855D19"/>
    <w:rsid w:val="00856769"/>
    <w:rsid w:val="00857B26"/>
    <w:rsid w:val="0086144E"/>
    <w:rsid w:val="00861AC4"/>
    <w:rsid w:val="00861CBD"/>
    <w:rsid w:val="00861E1B"/>
    <w:rsid w:val="0086200E"/>
    <w:rsid w:val="008623A1"/>
    <w:rsid w:val="008640EE"/>
    <w:rsid w:val="008703B2"/>
    <w:rsid w:val="00870E7D"/>
    <w:rsid w:val="008726DD"/>
    <w:rsid w:val="00872E05"/>
    <w:rsid w:val="00872EE6"/>
    <w:rsid w:val="008731E2"/>
    <w:rsid w:val="008740E4"/>
    <w:rsid w:val="008756EF"/>
    <w:rsid w:val="00875A9F"/>
    <w:rsid w:val="008760D3"/>
    <w:rsid w:val="0087651F"/>
    <w:rsid w:val="00876C60"/>
    <w:rsid w:val="00876F74"/>
    <w:rsid w:val="00877555"/>
    <w:rsid w:val="00877ECE"/>
    <w:rsid w:val="00881246"/>
    <w:rsid w:val="00881839"/>
    <w:rsid w:val="00882251"/>
    <w:rsid w:val="00883D23"/>
    <w:rsid w:val="008851E1"/>
    <w:rsid w:val="00890CB4"/>
    <w:rsid w:val="008917D6"/>
    <w:rsid w:val="0089311B"/>
    <w:rsid w:val="00894073"/>
    <w:rsid w:val="008947CC"/>
    <w:rsid w:val="00894EA5"/>
    <w:rsid w:val="008952D2"/>
    <w:rsid w:val="008961CF"/>
    <w:rsid w:val="008963A0"/>
    <w:rsid w:val="0089688C"/>
    <w:rsid w:val="00897414"/>
    <w:rsid w:val="008A11C3"/>
    <w:rsid w:val="008A35E2"/>
    <w:rsid w:val="008A6917"/>
    <w:rsid w:val="008A6AD7"/>
    <w:rsid w:val="008A7A31"/>
    <w:rsid w:val="008A7EE5"/>
    <w:rsid w:val="008B0E27"/>
    <w:rsid w:val="008B1237"/>
    <w:rsid w:val="008B1C4E"/>
    <w:rsid w:val="008B1D56"/>
    <w:rsid w:val="008B1E0C"/>
    <w:rsid w:val="008B1FA2"/>
    <w:rsid w:val="008B23B5"/>
    <w:rsid w:val="008B2C5B"/>
    <w:rsid w:val="008B439F"/>
    <w:rsid w:val="008B4A5F"/>
    <w:rsid w:val="008B70E5"/>
    <w:rsid w:val="008B73BE"/>
    <w:rsid w:val="008C2328"/>
    <w:rsid w:val="008C2387"/>
    <w:rsid w:val="008C298E"/>
    <w:rsid w:val="008C4B9D"/>
    <w:rsid w:val="008C53F0"/>
    <w:rsid w:val="008C56CE"/>
    <w:rsid w:val="008C5DDA"/>
    <w:rsid w:val="008C66CA"/>
    <w:rsid w:val="008C6FCD"/>
    <w:rsid w:val="008C7364"/>
    <w:rsid w:val="008C75F6"/>
    <w:rsid w:val="008C7C54"/>
    <w:rsid w:val="008D1A4D"/>
    <w:rsid w:val="008D2E7C"/>
    <w:rsid w:val="008D4886"/>
    <w:rsid w:val="008D5A5D"/>
    <w:rsid w:val="008E0883"/>
    <w:rsid w:val="008E099A"/>
    <w:rsid w:val="008E2C99"/>
    <w:rsid w:val="008E311B"/>
    <w:rsid w:val="008E413D"/>
    <w:rsid w:val="008E441F"/>
    <w:rsid w:val="008E54B1"/>
    <w:rsid w:val="008E6591"/>
    <w:rsid w:val="008E6623"/>
    <w:rsid w:val="008E7595"/>
    <w:rsid w:val="008E7782"/>
    <w:rsid w:val="008F11BA"/>
    <w:rsid w:val="008F12E0"/>
    <w:rsid w:val="008F1488"/>
    <w:rsid w:val="008F1589"/>
    <w:rsid w:val="008F15B9"/>
    <w:rsid w:val="008F355A"/>
    <w:rsid w:val="008F3F24"/>
    <w:rsid w:val="008F41BC"/>
    <w:rsid w:val="008F487D"/>
    <w:rsid w:val="008F73CF"/>
    <w:rsid w:val="008F782D"/>
    <w:rsid w:val="008F7860"/>
    <w:rsid w:val="00901485"/>
    <w:rsid w:val="00901A46"/>
    <w:rsid w:val="009032D7"/>
    <w:rsid w:val="009048CA"/>
    <w:rsid w:val="009048F2"/>
    <w:rsid w:val="00904A51"/>
    <w:rsid w:val="00905F2D"/>
    <w:rsid w:val="009071AB"/>
    <w:rsid w:val="009072BB"/>
    <w:rsid w:val="0090739F"/>
    <w:rsid w:val="00910E60"/>
    <w:rsid w:val="00911F29"/>
    <w:rsid w:val="0091210D"/>
    <w:rsid w:val="009121A2"/>
    <w:rsid w:val="00912A0F"/>
    <w:rsid w:val="00915845"/>
    <w:rsid w:val="00920B1A"/>
    <w:rsid w:val="00921D62"/>
    <w:rsid w:val="0092258D"/>
    <w:rsid w:val="00922A25"/>
    <w:rsid w:val="00922C11"/>
    <w:rsid w:val="00922EB2"/>
    <w:rsid w:val="0092457F"/>
    <w:rsid w:val="00926188"/>
    <w:rsid w:val="0092698B"/>
    <w:rsid w:val="0093022B"/>
    <w:rsid w:val="00930F6D"/>
    <w:rsid w:val="00931093"/>
    <w:rsid w:val="0093186B"/>
    <w:rsid w:val="009319BA"/>
    <w:rsid w:val="00932D7B"/>
    <w:rsid w:val="00934157"/>
    <w:rsid w:val="009347B3"/>
    <w:rsid w:val="009347CF"/>
    <w:rsid w:val="00935C5B"/>
    <w:rsid w:val="00935C9A"/>
    <w:rsid w:val="00936449"/>
    <w:rsid w:val="009378FE"/>
    <w:rsid w:val="00940A1B"/>
    <w:rsid w:val="009422DE"/>
    <w:rsid w:val="00942DDF"/>
    <w:rsid w:val="00943498"/>
    <w:rsid w:val="00943614"/>
    <w:rsid w:val="00945E65"/>
    <w:rsid w:val="00946C10"/>
    <w:rsid w:val="009477C7"/>
    <w:rsid w:val="00947A2F"/>
    <w:rsid w:val="0095023F"/>
    <w:rsid w:val="00950C24"/>
    <w:rsid w:val="00950EA8"/>
    <w:rsid w:val="0095317A"/>
    <w:rsid w:val="0096080D"/>
    <w:rsid w:val="00960D55"/>
    <w:rsid w:val="009619CF"/>
    <w:rsid w:val="00962EE9"/>
    <w:rsid w:val="00965788"/>
    <w:rsid w:val="00965A7A"/>
    <w:rsid w:val="00965D1F"/>
    <w:rsid w:val="00966898"/>
    <w:rsid w:val="009705F1"/>
    <w:rsid w:val="00970A81"/>
    <w:rsid w:val="0097319B"/>
    <w:rsid w:val="00975C65"/>
    <w:rsid w:val="00977E4E"/>
    <w:rsid w:val="00981521"/>
    <w:rsid w:val="00983027"/>
    <w:rsid w:val="00983058"/>
    <w:rsid w:val="00983B12"/>
    <w:rsid w:val="00983D2D"/>
    <w:rsid w:val="00986712"/>
    <w:rsid w:val="00986B9A"/>
    <w:rsid w:val="00986D2D"/>
    <w:rsid w:val="00986D37"/>
    <w:rsid w:val="00987236"/>
    <w:rsid w:val="00987F82"/>
    <w:rsid w:val="0099108B"/>
    <w:rsid w:val="00991D66"/>
    <w:rsid w:val="009930B5"/>
    <w:rsid w:val="00993EFA"/>
    <w:rsid w:val="0099766D"/>
    <w:rsid w:val="00997760"/>
    <w:rsid w:val="00997E7C"/>
    <w:rsid w:val="009A0716"/>
    <w:rsid w:val="009A1A41"/>
    <w:rsid w:val="009A1C90"/>
    <w:rsid w:val="009A264E"/>
    <w:rsid w:val="009A3A2B"/>
    <w:rsid w:val="009A7B87"/>
    <w:rsid w:val="009B0E45"/>
    <w:rsid w:val="009B23C9"/>
    <w:rsid w:val="009B27BC"/>
    <w:rsid w:val="009B330B"/>
    <w:rsid w:val="009B43F7"/>
    <w:rsid w:val="009B4F6F"/>
    <w:rsid w:val="009B5447"/>
    <w:rsid w:val="009B5EFF"/>
    <w:rsid w:val="009B6156"/>
    <w:rsid w:val="009B61C7"/>
    <w:rsid w:val="009B7D4D"/>
    <w:rsid w:val="009C0617"/>
    <w:rsid w:val="009C0A22"/>
    <w:rsid w:val="009C0EE3"/>
    <w:rsid w:val="009C157C"/>
    <w:rsid w:val="009C2B14"/>
    <w:rsid w:val="009C542E"/>
    <w:rsid w:val="009C7131"/>
    <w:rsid w:val="009C7412"/>
    <w:rsid w:val="009D153C"/>
    <w:rsid w:val="009D1827"/>
    <w:rsid w:val="009D2397"/>
    <w:rsid w:val="009D3E55"/>
    <w:rsid w:val="009D5028"/>
    <w:rsid w:val="009D510D"/>
    <w:rsid w:val="009D5569"/>
    <w:rsid w:val="009D55C1"/>
    <w:rsid w:val="009D622F"/>
    <w:rsid w:val="009E05A8"/>
    <w:rsid w:val="009E1F15"/>
    <w:rsid w:val="009E225D"/>
    <w:rsid w:val="009E2474"/>
    <w:rsid w:val="009E25F7"/>
    <w:rsid w:val="009E3359"/>
    <w:rsid w:val="009E5594"/>
    <w:rsid w:val="009E7789"/>
    <w:rsid w:val="009F0B97"/>
    <w:rsid w:val="009F1B6A"/>
    <w:rsid w:val="009F33DC"/>
    <w:rsid w:val="009F36F5"/>
    <w:rsid w:val="009F41AE"/>
    <w:rsid w:val="009F441E"/>
    <w:rsid w:val="009F4B96"/>
    <w:rsid w:val="009F5E92"/>
    <w:rsid w:val="009F5F3F"/>
    <w:rsid w:val="009F695E"/>
    <w:rsid w:val="009F7AF4"/>
    <w:rsid w:val="009F7E78"/>
    <w:rsid w:val="00A00E10"/>
    <w:rsid w:val="00A043A5"/>
    <w:rsid w:val="00A04F26"/>
    <w:rsid w:val="00A0685C"/>
    <w:rsid w:val="00A10BD1"/>
    <w:rsid w:val="00A11292"/>
    <w:rsid w:val="00A11D1E"/>
    <w:rsid w:val="00A11E5B"/>
    <w:rsid w:val="00A1280B"/>
    <w:rsid w:val="00A1287F"/>
    <w:rsid w:val="00A13F13"/>
    <w:rsid w:val="00A14F73"/>
    <w:rsid w:val="00A159B8"/>
    <w:rsid w:val="00A160CF"/>
    <w:rsid w:val="00A16C2D"/>
    <w:rsid w:val="00A1704D"/>
    <w:rsid w:val="00A17D8F"/>
    <w:rsid w:val="00A2099C"/>
    <w:rsid w:val="00A22424"/>
    <w:rsid w:val="00A227DA"/>
    <w:rsid w:val="00A25F78"/>
    <w:rsid w:val="00A26DB0"/>
    <w:rsid w:val="00A2710B"/>
    <w:rsid w:val="00A27D75"/>
    <w:rsid w:val="00A3101E"/>
    <w:rsid w:val="00A31618"/>
    <w:rsid w:val="00A3261D"/>
    <w:rsid w:val="00A331A0"/>
    <w:rsid w:val="00A33223"/>
    <w:rsid w:val="00A340F6"/>
    <w:rsid w:val="00A34648"/>
    <w:rsid w:val="00A367B4"/>
    <w:rsid w:val="00A37121"/>
    <w:rsid w:val="00A37578"/>
    <w:rsid w:val="00A3776C"/>
    <w:rsid w:val="00A37B34"/>
    <w:rsid w:val="00A4050C"/>
    <w:rsid w:val="00A40935"/>
    <w:rsid w:val="00A440FA"/>
    <w:rsid w:val="00A46C06"/>
    <w:rsid w:val="00A46F83"/>
    <w:rsid w:val="00A50406"/>
    <w:rsid w:val="00A5080A"/>
    <w:rsid w:val="00A512D3"/>
    <w:rsid w:val="00A52C24"/>
    <w:rsid w:val="00A53910"/>
    <w:rsid w:val="00A53929"/>
    <w:rsid w:val="00A54D12"/>
    <w:rsid w:val="00A55ACB"/>
    <w:rsid w:val="00A57433"/>
    <w:rsid w:val="00A579B4"/>
    <w:rsid w:val="00A620DE"/>
    <w:rsid w:val="00A6583F"/>
    <w:rsid w:val="00A66920"/>
    <w:rsid w:val="00A66B1B"/>
    <w:rsid w:val="00A679BF"/>
    <w:rsid w:val="00A7029B"/>
    <w:rsid w:val="00A70E0D"/>
    <w:rsid w:val="00A71BFD"/>
    <w:rsid w:val="00A721D1"/>
    <w:rsid w:val="00A73833"/>
    <w:rsid w:val="00A747D3"/>
    <w:rsid w:val="00A759A5"/>
    <w:rsid w:val="00A76004"/>
    <w:rsid w:val="00A768F0"/>
    <w:rsid w:val="00A774B0"/>
    <w:rsid w:val="00A82C9C"/>
    <w:rsid w:val="00A82D8A"/>
    <w:rsid w:val="00A90682"/>
    <w:rsid w:val="00A9079B"/>
    <w:rsid w:val="00A90CA1"/>
    <w:rsid w:val="00A929FB"/>
    <w:rsid w:val="00A94D9E"/>
    <w:rsid w:val="00A9577B"/>
    <w:rsid w:val="00A958C2"/>
    <w:rsid w:val="00A95AAE"/>
    <w:rsid w:val="00A96319"/>
    <w:rsid w:val="00A9690D"/>
    <w:rsid w:val="00AA021D"/>
    <w:rsid w:val="00AA07D4"/>
    <w:rsid w:val="00AA1475"/>
    <w:rsid w:val="00AA181A"/>
    <w:rsid w:val="00AA1ED2"/>
    <w:rsid w:val="00AA2E3A"/>
    <w:rsid w:val="00AA5308"/>
    <w:rsid w:val="00AA7239"/>
    <w:rsid w:val="00AA77CE"/>
    <w:rsid w:val="00AB0215"/>
    <w:rsid w:val="00AB09C9"/>
    <w:rsid w:val="00AB0C12"/>
    <w:rsid w:val="00AB0D65"/>
    <w:rsid w:val="00AB24FA"/>
    <w:rsid w:val="00AB2703"/>
    <w:rsid w:val="00AB2C22"/>
    <w:rsid w:val="00AB4330"/>
    <w:rsid w:val="00AC096C"/>
    <w:rsid w:val="00AC1AD1"/>
    <w:rsid w:val="00AC1DDF"/>
    <w:rsid w:val="00AC510F"/>
    <w:rsid w:val="00AC64AF"/>
    <w:rsid w:val="00AC65FC"/>
    <w:rsid w:val="00AC73C9"/>
    <w:rsid w:val="00AC78B8"/>
    <w:rsid w:val="00AC7AE0"/>
    <w:rsid w:val="00AD008A"/>
    <w:rsid w:val="00AD1938"/>
    <w:rsid w:val="00AD1A22"/>
    <w:rsid w:val="00AD1EB4"/>
    <w:rsid w:val="00AD2273"/>
    <w:rsid w:val="00AD29A6"/>
    <w:rsid w:val="00AD2BE4"/>
    <w:rsid w:val="00AD2EC8"/>
    <w:rsid w:val="00AD3000"/>
    <w:rsid w:val="00AD383A"/>
    <w:rsid w:val="00AE0581"/>
    <w:rsid w:val="00AE0A70"/>
    <w:rsid w:val="00AE1A02"/>
    <w:rsid w:val="00AE2906"/>
    <w:rsid w:val="00AE29F3"/>
    <w:rsid w:val="00AE2E89"/>
    <w:rsid w:val="00AE37C1"/>
    <w:rsid w:val="00AE3906"/>
    <w:rsid w:val="00AE4461"/>
    <w:rsid w:val="00AE4563"/>
    <w:rsid w:val="00AE47BB"/>
    <w:rsid w:val="00AE757E"/>
    <w:rsid w:val="00AE7BD3"/>
    <w:rsid w:val="00AE7C30"/>
    <w:rsid w:val="00AF09D5"/>
    <w:rsid w:val="00AF260D"/>
    <w:rsid w:val="00AF2977"/>
    <w:rsid w:val="00AF2C11"/>
    <w:rsid w:val="00AF31DC"/>
    <w:rsid w:val="00AF642C"/>
    <w:rsid w:val="00AF673C"/>
    <w:rsid w:val="00AF682E"/>
    <w:rsid w:val="00AF6DE1"/>
    <w:rsid w:val="00AF6F2E"/>
    <w:rsid w:val="00B00472"/>
    <w:rsid w:val="00B0057C"/>
    <w:rsid w:val="00B02443"/>
    <w:rsid w:val="00B033D6"/>
    <w:rsid w:val="00B05597"/>
    <w:rsid w:val="00B1001A"/>
    <w:rsid w:val="00B112B0"/>
    <w:rsid w:val="00B112D5"/>
    <w:rsid w:val="00B12CA6"/>
    <w:rsid w:val="00B13199"/>
    <w:rsid w:val="00B14057"/>
    <w:rsid w:val="00B15113"/>
    <w:rsid w:val="00B16751"/>
    <w:rsid w:val="00B16CFD"/>
    <w:rsid w:val="00B1770D"/>
    <w:rsid w:val="00B21BA5"/>
    <w:rsid w:val="00B22551"/>
    <w:rsid w:val="00B246B2"/>
    <w:rsid w:val="00B24BA2"/>
    <w:rsid w:val="00B24EA0"/>
    <w:rsid w:val="00B26A61"/>
    <w:rsid w:val="00B27BE4"/>
    <w:rsid w:val="00B30CF0"/>
    <w:rsid w:val="00B321BA"/>
    <w:rsid w:val="00B34B16"/>
    <w:rsid w:val="00B34E31"/>
    <w:rsid w:val="00B351FD"/>
    <w:rsid w:val="00B359E5"/>
    <w:rsid w:val="00B40B90"/>
    <w:rsid w:val="00B412BB"/>
    <w:rsid w:val="00B41337"/>
    <w:rsid w:val="00B429A9"/>
    <w:rsid w:val="00B42DFD"/>
    <w:rsid w:val="00B43292"/>
    <w:rsid w:val="00B43E21"/>
    <w:rsid w:val="00B4476A"/>
    <w:rsid w:val="00B469ED"/>
    <w:rsid w:val="00B47238"/>
    <w:rsid w:val="00B4751F"/>
    <w:rsid w:val="00B47B2B"/>
    <w:rsid w:val="00B47DB1"/>
    <w:rsid w:val="00B517C9"/>
    <w:rsid w:val="00B51872"/>
    <w:rsid w:val="00B52A76"/>
    <w:rsid w:val="00B5325F"/>
    <w:rsid w:val="00B53D50"/>
    <w:rsid w:val="00B55E81"/>
    <w:rsid w:val="00B56990"/>
    <w:rsid w:val="00B56B0C"/>
    <w:rsid w:val="00B56F69"/>
    <w:rsid w:val="00B57CAE"/>
    <w:rsid w:val="00B60758"/>
    <w:rsid w:val="00B6099B"/>
    <w:rsid w:val="00B60F67"/>
    <w:rsid w:val="00B612E8"/>
    <w:rsid w:val="00B6153C"/>
    <w:rsid w:val="00B615A2"/>
    <w:rsid w:val="00B61FCE"/>
    <w:rsid w:val="00B678B1"/>
    <w:rsid w:val="00B71BA3"/>
    <w:rsid w:val="00B72C1F"/>
    <w:rsid w:val="00B73FCC"/>
    <w:rsid w:val="00B743D9"/>
    <w:rsid w:val="00B74E06"/>
    <w:rsid w:val="00B75043"/>
    <w:rsid w:val="00B76BE4"/>
    <w:rsid w:val="00B832E6"/>
    <w:rsid w:val="00B835B7"/>
    <w:rsid w:val="00B85681"/>
    <w:rsid w:val="00B87826"/>
    <w:rsid w:val="00B908FC"/>
    <w:rsid w:val="00B90FC8"/>
    <w:rsid w:val="00B9127E"/>
    <w:rsid w:val="00B942DF"/>
    <w:rsid w:val="00B947A8"/>
    <w:rsid w:val="00B95B0A"/>
    <w:rsid w:val="00B9688E"/>
    <w:rsid w:val="00B96D09"/>
    <w:rsid w:val="00BA0E3E"/>
    <w:rsid w:val="00BA132F"/>
    <w:rsid w:val="00BA1669"/>
    <w:rsid w:val="00BA1B26"/>
    <w:rsid w:val="00BA33D9"/>
    <w:rsid w:val="00BA626D"/>
    <w:rsid w:val="00BA6F31"/>
    <w:rsid w:val="00BA737F"/>
    <w:rsid w:val="00BA7C80"/>
    <w:rsid w:val="00BB1BE2"/>
    <w:rsid w:val="00BB24C1"/>
    <w:rsid w:val="00BB3311"/>
    <w:rsid w:val="00BB33F2"/>
    <w:rsid w:val="00BB4B0A"/>
    <w:rsid w:val="00BB5BF4"/>
    <w:rsid w:val="00BB63C0"/>
    <w:rsid w:val="00BB6480"/>
    <w:rsid w:val="00BB7282"/>
    <w:rsid w:val="00BB79CB"/>
    <w:rsid w:val="00BC1E24"/>
    <w:rsid w:val="00BC1E2F"/>
    <w:rsid w:val="00BC3356"/>
    <w:rsid w:val="00BC4E7E"/>
    <w:rsid w:val="00BC5A86"/>
    <w:rsid w:val="00BC5DCB"/>
    <w:rsid w:val="00BC728B"/>
    <w:rsid w:val="00BD213A"/>
    <w:rsid w:val="00BD2DC6"/>
    <w:rsid w:val="00BD3078"/>
    <w:rsid w:val="00BD6F61"/>
    <w:rsid w:val="00BE1121"/>
    <w:rsid w:val="00BE2A90"/>
    <w:rsid w:val="00BE31E7"/>
    <w:rsid w:val="00BE3471"/>
    <w:rsid w:val="00BE3652"/>
    <w:rsid w:val="00BE46F7"/>
    <w:rsid w:val="00BE6409"/>
    <w:rsid w:val="00BE68CF"/>
    <w:rsid w:val="00BF0A23"/>
    <w:rsid w:val="00BF0BDB"/>
    <w:rsid w:val="00BF1A24"/>
    <w:rsid w:val="00BF292D"/>
    <w:rsid w:val="00BF383B"/>
    <w:rsid w:val="00BF46FC"/>
    <w:rsid w:val="00BF6106"/>
    <w:rsid w:val="00BF7A67"/>
    <w:rsid w:val="00C01475"/>
    <w:rsid w:val="00C02051"/>
    <w:rsid w:val="00C04594"/>
    <w:rsid w:val="00C05154"/>
    <w:rsid w:val="00C05CAC"/>
    <w:rsid w:val="00C066A2"/>
    <w:rsid w:val="00C06926"/>
    <w:rsid w:val="00C0756B"/>
    <w:rsid w:val="00C07B70"/>
    <w:rsid w:val="00C07F3E"/>
    <w:rsid w:val="00C1082B"/>
    <w:rsid w:val="00C111B3"/>
    <w:rsid w:val="00C1331C"/>
    <w:rsid w:val="00C137EB"/>
    <w:rsid w:val="00C13C2B"/>
    <w:rsid w:val="00C163D5"/>
    <w:rsid w:val="00C16978"/>
    <w:rsid w:val="00C1745C"/>
    <w:rsid w:val="00C17BF9"/>
    <w:rsid w:val="00C20740"/>
    <w:rsid w:val="00C21742"/>
    <w:rsid w:val="00C23FC0"/>
    <w:rsid w:val="00C27997"/>
    <w:rsid w:val="00C3072B"/>
    <w:rsid w:val="00C32261"/>
    <w:rsid w:val="00C376B0"/>
    <w:rsid w:val="00C37B4D"/>
    <w:rsid w:val="00C37B95"/>
    <w:rsid w:val="00C37D2C"/>
    <w:rsid w:val="00C40AA7"/>
    <w:rsid w:val="00C41052"/>
    <w:rsid w:val="00C44673"/>
    <w:rsid w:val="00C451AE"/>
    <w:rsid w:val="00C455B8"/>
    <w:rsid w:val="00C45E74"/>
    <w:rsid w:val="00C469D0"/>
    <w:rsid w:val="00C50DE8"/>
    <w:rsid w:val="00C50EEE"/>
    <w:rsid w:val="00C541DD"/>
    <w:rsid w:val="00C5516D"/>
    <w:rsid w:val="00C60BD6"/>
    <w:rsid w:val="00C60FA0"/>
    <w:rsid w:val="00C6196A"/>
    <w:rsid w:val="00C630A0"/>
    <w:rsid w:val="00C639A2"/>
    <w:rsid w:val="00C6433A"/>
    <w:rsid w:val="00C66103"/>
    <w:rsid w:val="00C67769"/>
    <w:rsid w:val="00C702A0"/>
    <w:rsid w:val="00C70587"/>
    <w:rsid w:val="00C70AFC"/>
    <w:rsid w:val="00C71961"/>
    <w:rsid w:val="00C732C5"/>
    <w:rsid w:val="00C74734"/>
    <w:rsid w:val="00C748A2"/>
    <w:rsid w:val="00C75E43"/>
    <w:rsid w:val="00C777F5"/>
    <w:rsid w:val="00C82512"/>
    <w:rsid w:val="00C82C93"/>
    <w:rsid w:val="00C82EA2"/>
    <w:rsid w:val="00C83B31"/>
    <w:rsid w:val="00C83DBE"/>
    <w:rsid w:val="00C850EA"/>
    <w:rsid w:val="00C8534A"/>
    <w:rsid w:val="00C8682F"/>
    <w:rsid w:val="00C86ACA"/>
    <w:rsid w:val="00C871BB"/>
    <w:rsid w:val="00C923B3"/>
    <w:rsid w:val="00C932AC"/>
    <w:rsid w:val="00C93E09"/>
    <w:rsid w:val="00C94577"/>
    <w:rsid w:val="00C958FC"/>
    <w:rsid w:val="00C9621B"/>
    <w:rsid w:val="00CA6B8F"/>
    <w:rsid w:val="00CB4145"/>
    <w:rsid w:val="00CB4909"/>
    <w:rsid w:val="00CB584F"/>
    <w:rsid w:val="00CB5944"/>
    <w:rsid w:val="00CB67BB"/>
    <w:rsid w:val="00CB6CC0"/>
    <w:rsid w:val="00CB7B88"/>
    <w:rsid w:val="00CC335D"/>
    <w:rsid w:val="00CC4A52"/>
    <w:rsid w:val="00CC51D4"/>
    <w:rsid w:val="00CC6885"/>
    <w:rsid w:val="00CC7E61"/>
    <w:rsid w:val="00CD2423"/>
    <w:rsid w:val="00CD244C"/>
    <w:rsid w:val="00CD30A4"/>
    <w:rsid w:val="00CD5BA1"/>
    <w:rsid w:val="00CE16E4"/>
    <w:rsid w:val="00CE1B3B"/>
    <w:rsid w:val="00CE1FAD"/>
    <w:rsid w:val="00CE20F0"/>
    <w:rsid w:val="00CE2B1C"/>
    <w:rsid w:val="00CE3341"/>
    <w:rsid w:val="00CE3B09"/>
    <w:rsid w:val="00CE4E2E"/>
    <w:rsid w:val="00CE4FC2"/>
    <w:rsid w:val="00CE549E"/>
    <w:rsid w:val="00CE6408"/>
    <w:rsid w:val="00CE75AE"/>
    <w:rsid w:val="00CF0A10"/>
    <w:rsid w:val="00CF0A55"/>
    <w:rsid w:val="00CF1EDD"/>
    <w:rsid w:val="00CF3906"/>
    <w:rsid w:val="00CF4B4F"/>
    <w:rsid w:val="00CF54ED"/>
    <w:rsid w:val="00CF69E1"/>
    <w:rsid w:val="00CF71D3"/>
    <w:rsid w:val="00D00287"/>
    <w:rsid w:val="00D01454"/>
    <w:rsid w:val="00D01721"/>
    <w:rsid w:val="00D0183A"/>
    <w:rsid w:val="00D0199E"/>
    <w:rsid w:val="00D02A9A"/>
    <w:rsid w:val="00D04202"/>
    <w:rsid w:val="00D05207"/>
    <w:rsid w:val="00D067A1"/>
    <w:rsid w:val="00D07D57"/>
    <w:rsid w:val="00D12436"/>
    <w:rsid w:val="00D13B9A"/>
    <w:rsid w:val="00D13DAC"/>
    <w:rsid w:val="00D14C06"/>
    <w:rsid w:val="00D152F6"/>
    <w:rsid w:val="00D16F24"/>
    <w:rsid w:val="00D2026C"/>
    <w:rsid w:val="00D22092"/>
    <w:rsid w:val="00D2393D"/>
    <w:rsid w:val="00D27971"/>
    <w:rsid w:val="00D3317F"/>
    <w:rsid w:val="00D35040"/>
    <w:rsid w:val="00D36358"/>
    <w:rsid w:val="00D4022A"/>
    <w:rsid w:val="00D402DC"/>
    <w:rsid w:val="00D4097A"/>
    <w:rsid w:val="00D435E4"/>
    <w:rsid w:val="00D43A91"/>
    <w:rsid w:val="00D454F5"/>
    <w:rsid w:val="00D458BE"/>
    <w:rsid w:val="00D459C9"/>
    <w:rsid w:val="00D461FC"/>
    <w:rsid w:val="00D4787A"/>
    <w:rsid w:val="00D50052"/>
    <w:rsid w:val="00D500C7"/>
    <w:rsid w:val="00D50823"/>
    <w:rsid w:val="00D52D82"/>
    <w:rsid w:val="00D54205"/>
    <w:rsid w:val="00D55493"/>
    <w:rsid w:val="00D557D4"/>
    <w:rsid w:val="00D6413E"/>
    <w:rsid w:val="00D656ED"/>
    <w:rsid w:val="00D65C08"/>
    <w:rsid w:val="00D66826"/>
    <w:rsid w:val="00D66DEE"/>
    <w:rsid w:val="00D670D1"/>
    <w:rsid w:val="00D704CB"/>
    <w:rsid w:val="00D70981"/>
    <w:rsid w:val="00D7153A"/>
    <w:rsid w:val="00D71FAD"/>
    <w:rsid w:val="00D720D2"/>
    <w:rsid w:val="00D73105"/>
    <w:rsid w:val="00D74694"/>
    <w:rsid w:val="00D74C6E"/>
    <w:rsid w:val="00D75AA6"/>
    <w:rsid w:val="00D77863"/>
    <w:rsid w:val="00D801F5"/>
    <w:rsid w:val="00D81907"/>
    <w:rsid w:val="00D82458"/>
    <w:rsid w:val="00D826EF"/>
    <w:rsid w:val="00D8547E"/>
    <w:rsid w:val="00D85D6E"/>
    <w:rsid w:val="00D86227"/>
    <w:rsid w:val="00D87BFB"/>
    <w:rsid w:val="00D91790"/>
    <w:rsid w:val="00D917D7"/>
    <w:rsid w:val="00D91A2D"/>
    <w:rsid w:val="00D93849"/>
    <w:rsid w:val="00D953F8"/>
    <w:rsid w:val="00D9696C"/>
    <w:rsid w:val="00D973B2"/>
    <w:rsid w:val="00DA04FD"/>
    <w:rsid w:val="00DA07A4"/>
    <w:rsid w:val="00DA1110"/>
    <w:rsid w:val="00DA1F4F"/>
    <w:rsid w:val="00DA3EB9"/>
    <w:rsid w:val="00DA476C"/>
    <w:rsid w:val="00DA5926"/>
    <w:rsid w:val="00DB00CB"/>
    <w:rsid w:val="00DB17AE"/>
    <w:rsid w:val="00DB1BBD"/>
    <w:rsid w:val="00DB1EDE"/>
    <w:rsid w:val="00DB222C"/>
    <w:rsid w:val="00DB3177"/>
    <w:rsid w:val="00DB3B38"/>
    <w:rsid w:val="00DB7CEE"/>
    <w:rsid w:val="00DC0A61"/>
    <w:rsid w:val="00DC370A"/>
    <w:rsid w:val="00DC39D1"/>
    <w:rsid w:val="00DC4739"/>
    <w:rsid w:val="00DC4B6E"/>
    <w:rsid w:val="00DC59E8"/>
    <w:rsid w:val="00DC5E0A"/>
    <w:rsid w:val="00DC65B7"/>
    <w:rsid w:val="00DC6657"/>
    <w:rsid w:val="00DC7D99"/>
    <w:rsid w:val="00DD3379"/>
    <w:rsid w:val="00DD5519"/>
    <w:rsid w:val="00DD5D1A"/>
    <w:rsid w:val="00DD742B"/>
    <w:rsid w:val="00DD7EB3"/>
    <w:rsid w:val="00DE036A"/>
    <w:rsid w:val="00DE12A8"/>
    <w:rsid w:val="00DE28CC"/>
    <w:rsid w:val="00DE5F98"/>
    <w:rsid w:val="00DE68DA"/>
    <w:rsid w:val="00DE7CE8"/>
    <w:rsid w:val="00DF2F1C"/>
    <w:rsid w:val="00DF2FC8"/>
    <w:rsid w:val="00DF3119"/>
    <w:rsid w:val="00DF3CD3"/>
    <w:rsid w:val="00DF4035"/>
    <w:rsid w:val="00DF42C1"/>
    <w:rsid w:val="00DF4CBA"/>
    <w:rsid w:val="00DF52D9"/>
    <w:rsid w:val="00DF549C"/>
    <w:rsid w:val="00DF63E5"/>
    <w:rsid w:val="00DF7F69"/>
    <w:rsid w:val="00E009E1"/>
    <w:rsid w:val="00E016FA"/>
    <w:rsid w:val="00E03521"/>
    <w:rsid w:val="00E03848"/>
    <w:rsid w:val="00E04A6F"/>
    <w:rsid w:val="00E051A4"/>
    <w:rsid w:val="00E05454"/>
    <w:rsid w:val="00E05D27"/>
    <w:rsid w:val="00E05E0B"/>
    <w:rsid w:val="00E077AB"/>
    <w:rsid w:val="00E07814"/>
    <w:rsid w:val="00E07DF0"/>
    <w:rsid w:val="00E11146"/>
    <w:rsid w:val="00E11306"/>
    <w:rsid w:val="00E14994"/>
    <w:rsid w:val="00E17274"/>
    <w:rsid w:val="00E177A6"/>
    <w:rsid w:val="00E21E2B"/>
    <w:rsid w:val="00E239AD"/>
    <w:rsid w:val="00E24C11"/>
    <w:rsid w:val="00E25819"/>
    <w:rsid w:val="00E261E3"/>
    <w:rsid w:val="00E264A2"/>
    <w:rsid w:val="00E278C8"/>
    <w:rsid w:val="00E322E9"/>
    <w:rsid w:val="00E3600D"/>
    <w:rsid w:val="00E37050"/>
    <w:rsid w:val="00E371C0"/>
    <w:rsid w:val="00E37499"/>
    <w:rsid w:val="00E37519"/>
    <w:rsid w:val="00E37A62"/>
    <w:rsid w:val="00E4068B"/>
    <w:rsid w:val="00E40FCA"/>
    <w:rsid w:val="00E4713E"/>
    <w:rsid w:val="00E47489"/>
    <w:rsid w:val="00E476D0"/>
    <w:rsid w:val="00E5107E"/>
    <w:rsid w:val="00E51C47"/>
    <w:rsid w:val="00E53289"/>
    <w:rsid w:val="00E53606"/>
    <w:rsid w:val="00E54A5C"/>
    <w:rsid w:val="00E55153"/>
    <w:rsid w:val="00E5549C"/>
    <w:rsid w:val="00E55FE5"/>
    <w:rsid w:val="00E5693F"/>
    <w:rsid w:val="00E57249"/>
    <w:rsid w:val="00E57B5E"/>
    <w:rsid w:val="00E60066"/>
    <w:rsid w:val="00E6009F"/>
    <w:rsid w:val="00E613C2"/>
    <w:rsid w:val="00E620BF"/>
    <w:rsid w:val="00E62166"/>
    <w:rsid w:val="00E62E6B"/>
    <w:rsid w:val="00E63CAF"/>
    <w:rsid w:val="00E648F6"/>
    <w:rsid w:val="00E64E01"/>
    <w:rsid w:val="00E65CD1"/>
    <w:rsid w:val="00E66697"/>
    <w:rsid w:val="00E673AE"/>
    <w:rsid w:val="00E67A7C"/>
    <w:rsid w:val="00E67BA8"/>
    <w:rsid w:val="00E70119"/>
    <w:rsid w:val="00E7062A"/>
    <w:rsid w:val="00E7097B"/>
    <w:rsid w:val="00E70C5D"/>
    <w:rsid w:val="00E71B3D"/>
    <w:rsid w:val="00E71D17"/>
    <w:rsid w:val="00E72105"/>
    <w:rsid w:val="00E7231C"/>
    <w:rsid w:val="00E73AB8"/>
    <w:rsid w:val="00E806E0"/>
    <w:rsid w:val="00E81D47"/>
    <w:rsid w:val="00E82D4D"/>
    <w:rsid w:val="00E82EF4"/>
    <w:rsid w:val="00E82F59"/>
    <w:rsid w:val="00E834A6"/>
    <w:rsid w:val="00E84052"/>
    <w:rsid w:val="00E84949"/>
    <w:rsid w:val="00E91DB1"/>
    <w:rsid w:val="00E9243D"/>
    <w:rsid w:val="00E926BF"/>
    <w:rsid w:val="00E954CA"/>
    <w:rsid w:val="00E95ED6"/>
    <w:rsid w:val="00E96598"/>
    <w:rsid w:val="00E96A40"/>
    <w:rsid w:val="00E96D32"/>
    <w:rsid w:val="00EA05DD"/>
    <w:rsid w:val="00EA06AE"/>
    <w:rsid w:val="00EA0A63"/>
    <w:rsid w:val="00EA3982"/>
    <w:rsid w:val="00EA3D35"/>
    <w:rsid w:val="00EA3F60"/>
    <w:rsid w:val="00EA424E"/>
    <w:rsid w:val="00EA5760"/>
    <w:rsid w:val="00EB0118"/>
    <w:rsid w:val="00EB146D"/>
    <w:rsid w:val="00EB2571"/>
    <w:rsid w:val="00EB3129"/>
    <w:rsid w:val="00EB3920"/>
    <w:rsid w:val="00EB3C25"/>
    <w:rsid w:val="00EB49A7"/>
    <w:rsid w:val="00EB5F9F"/>
    <w:rsid w:val="00EC0117"/>
    <w:rsid w:val="00EC064D"/>
    <w:rsid w:val="00EC11FB"/>
    <w:rsid w:val="00EC1348"/>
    <w:rsid w:val="00EC1455"/>
    <w:rsid w:val="00EC20DD"/>
    <w:rsid w:val="00EC2ADC"/>
    <w:rsid w:val="00EC3261"/>
    <w:rsid w:val="00EC47CD"/>
    <w:rsid w:val="00EC7FD9"/>
    <w:rsid w:val="00ED1887"/>
    <w:rsid w:val="00ED1C7B"/>
    <w:rsid w:val="00ED3BDF"/>
    <w:rsid w:val="00ED41E0"/>
    <w:rsid w:val="00ED42C7"/>
    <w:rsid w:val="00ED47FE"/>
    <w:rsid w:val="00EE0773"/>
    <w:rsid w:val="00EE0BBD"/>
    <w:rsid w:val="00EE1150"/>
    <w:rsid w:val="00EE1E10"/>
    <w:rsid w:val="00EE430B"/>
    <w:rsid w:val="00EE5A62"/>
    <w:rsid w:val="00EE6716"/>
    <w:rsid w:val="00EE78FA"/>
    <w:rsid w:val="00EE7FE2"/>
    <w:rsid w:val="00EF03FB"/>
    <w:rsid w:val="00EF0F3B"/>
    <w:rsid w:val="00EF19D0"/>
    <w:rsid w:val="00EF1CD3"/>
    <w:rsid w:val="00EF41A2"/>
    <w:rsid w:val="00EF4A40"/>
    <w:rsid w:val="00EF64C2"/>
    <w:rsid w:val="00F0098C"/>
    <w:rsid w:val="00F0133C"/>
    <w:rsid w:val="00F0143F"/>
    <w:rsid w:val="00F01876"/>
    <w:rsid w:val="00F02351"/>
    <w:rsid w:val="00F033E4"/>
    <w:rsid w:val="00F039FD"/>
    <w:rsid w:val="00F05B5D"/>
    <w:rsid w:val="00F05F0E"/>
    <w:rsid w:val="00F07658"/>
    <w:rsid w:val="00F10FEF"/>
    <w:rsid w:val="00F12A8E"/>
    <w:rsid w:val="00F12C82"/>
    <w:rsid w:val="00F13690"/>
    <w:rsid w:val="00F13E82"/>
    <w:rsid w:val="00F1459C"/>
    <w:rsid w:val="00F15AE3"/>
    <w:rsid w:val="00F17989"/>
    <w:rsid w:val="00F17F77"/>
    <w:rsid w:val="00F17FC0"/>
    <w:rsid w:val="00F20420"/>
    <w:rsid w:val="00F209A3"/>
    <w:rsid w:val="00F211E2"/>
    <w:rsid w:val="00F2143B"/>
    <w:rsid w:val="00F22218"/>
    <w:rsid w:val="00F236E6"/>
    <w:rsid w:val="00F24536"/>
    <w:rsid w:val="00F246EB"/>
    <w:rsid w:val="00F24D58"/>
    <w:rsid w:val="00F25B05"/>
    <w:rsid w:val="00F276BE"/>
    <w:rsid w:val="00F30AE0"/>
    <w:rsid w:val="00F31703"/>
    <w:rsid w:val="00F32386"/>
    <w:rsid w:val="00F33013"/>
    <w:rsid w:val="00F33167"/>
    <w:rsid w:val="00F33F6D"/>
    <w:rsid w:val="00F340BF"/>
    <w:rsid w:val="00F36042"/>
    <w:rsid w:val="00F360F6"/>
    <w:rsid w:val="00F364DC"/>
    <w:rsid w:val="00F366E4"/>
    <w:rsid w:val="00F40A4F"/>
    <w:rsid w:val="00F411AE"/>
    <w:rsid w:val="00F41F3D"/>
    <w:rsid w:val="00F423DB"/>
    <w:rsid w:val="00F42D3C"/>
    <w:rsid w:val="00F43550"/>
    <w:rsid w:val="00F43993"/>
    <w:rsid w:val="00F44498"/>
    <w:rsid w:val="00F44689"/>
    <w:rsid w:val="00F45894"/>
    <w:rsid w:val="00F472CD"/>
    <w:rsid w:val="00F50526"/>
    <w:rsid w:val="00F51C8B"/>
    <w:rsid w:val="00F52741"/>
    <w:rsid w:val="00F55583"/>
    <w:rsid w:val="00F555E5"/>
    <w:rsid w:val="00F56A99"/>
    <w:rsid w:val="00F56F74"/>
    <w:rsid w:val="00F57732"/>
    <w:rsid w:val="00F57A68"/>
    <w:rsid w:val="00F57DA3"/>
    <w:rsid w:val="00F61D09"/>
    <w:rsid w:val="00F62F7B"/>
    <w:rsid w:val="00F633BC"/>
    <w:rsid w:val="00F63469"/>
    <w:rsid w:val="00F664B6"/>
    <w:rsid w:val="00F66967"/>
    <w:rsid w:val="00F66E1C"/>
    <w:rsid w:val="00F67E30"/>
    <w:rsid w:val="00F70CE6"/>
    <w:rsid w:val="00F74316"/>
    <w:rsid w:val="00F74483"/>
    <w:rsid w:val="00F757F8"/>
    <w:rsid w:val="00F768AA"/>
    <w:rsid w:val="00F76E38"/>
    <w:rsid w:val="00F77DD6"/>
    <w:rsid w:val="00F81690"/>
    <w:rsid w:val="00F83B38"/>
    <w:rsid w:val="00F87155"/>
    <w:rsid w:val="00F87388"/>
    <w:rsid w:val="00F90588"/>
    <w:rsid w:val="00F91120"/>
    <w:rsid w:val="00F913D4"/>
    <w:rsid w:val="00F91B4B"/>
    <w:rsid w:val="00F9264A"/>
    <w:rsid w:val="00F943EC"/>
    <w:rsid w:val="00F95CED"/>
    <w:rsid w:val="00F95E44"/>
    <w:rsid w:val="00F95EE0"/>
    <w:rsid w:val="00F95FED"/>
    <w:rsid w:val="00FA071B"/>
    <w:rsid w:val="00FA0CCB"/>
    <w:rsid w:val="00FA13A1"/>
    <w:rsid w:val="00FA1A12"/>
    <w:rsid w:val="00FA1CDB"/>
    <w:rsid w:val="00FA1E3E"/>
    <w:rsid w:val="00FA2377"/>
    <w:rsid w:val="00FA2A6F"/>
    <w:rsid w:val="00FA2C17"/>
    <w:rsid w:val="00FA2D73"/>
    <w:rsid w:val="00FA41E8"/>
    <w:rsid w:val="00FA4287"/>
    <w:rsid w:val="00FA432C"/>
    <w:rsid w:val="00FA45B6"/>
    <w:rsid w:val="00FA4A67"/>
    <w:rsid w:val="00FA4FBA"/>
    <w:rsid w:val="00FA5FA0"/>
    <w:rsid w:val="00FA7743"/>
    <w:rsid w:val="00FB1875"/>
    <w:rsid w:val="00FB19E1"/>
    <w:rsid w:val="00FB1F4E"/>
    <w:rsid w:val="00FB30E5"/>
    <w:rsid w:val="00FB6AB5"/>
    <w:rsid w:val="00FB7DE6"/>
    <w:rsid w:val="00FC1FCF"/>
    <w:rsid w:val="00FC3125"/>
    <w:rsid w:val="00FC3C4E"/>
    <w:rsid w:val="00FC5BC6"/>
    <w:rsid w:val="00FC5FBB"/>
    <w:rsid w:val="00FC7351"/>
    <w:rsid w:val="00FC7FD3"/>
    <w:rsid w:val="00FD009D"/>
    <w:rsid w:val="00FD0A13"/>
    <w:rsid w:val="00FD2AE6"/>
    <w:rsid w:val="00FD2F4B"/>
    <w:rsid w:val="00FD3304"/>
    <w:rsid w:val="00FD337E"/>
    <w:rsid w:val="00FD3742"/>
    <w:rsid w:val="00FE19D2"/>
    <w:rsid w:val="00FE27DE"/>
    <w:rsid w:val="00FE2B5F"/>
    <w:rsid w:val="00FE37E7"/>
    <w:rsid w:val="00FE3B35"/>
    <w:rsid w:val="00FE4471"/>
    <w:rsid w:val="00FE50AC"/>
    <w:rsid w:val="00FF0FFB"/>
    <w:rsid w:val="00FF2B48"/>
    <w:rsid w:val="00FF2ED7"/>
    <w:rsid w:val="00FF5581"/>
    <w:rsid w:val="00FF5E08"/>
    <w:rsid w:val="00FF5E86"/>
    <w:rsid w:val="00FF668A"/>
    <w:rsid w:val="00FF6983"/>
    <w:rsid w:val="011E207D"/>
    <w:rsid w:val="01354A98"/>
    <w:rsid w:val="016BE95C"/>
    <w:rsid w:val="01803B01"/>
    <w:rsid w:val="0189F5C1"/>
    <w:rsid w:val="023ABE24"/>
    <w:rsid w:val="027997EB"/>
    <w:rsid w:val="02A0E921"/>
    <w:rsid w:val="02D2EE25"/>
    <w:rsid w:val="0312224B"/>
    <w:rsid w:val="03564B82"/>
    <w:rsid w:val="03D92CFF"/>
    <w:rsid w:val="045ADFD8"/>
    <w:rsid w:val="0491A94D"/>
    <w:rsid w:val="04ACAB39"/>
    <w:rsid w:val="04BFBD31"/>
    <w:rsid w:val="04E124F0"/>
    <w:rsid w:val="05021B04"/>
    <w:rsid w:val="053522C3"/>
    <w:rsid w:val="056F9022"/>
    <w:rsid w:val="05B8F780"/>
    <w:rsid w:val="05BBBDC7"/>
    <w:rsid w:val="05EDBB4F"/>
    <w:rsid w:val="05F507C9"/>
    <w:rsid w:val="06083C9A"/>
    <w:rsid w:val="0650A314"/>
    <w:rsid w:val="06635F9E"/>
    <w:rsid w:val="0667B0E2"/>
    <w:rsid w:val="067C78CF"/>
    <w:rsid w:val="067CC11D"/>
    <w:rsid w:val="067CF551"/>
    <w:rsid w:val="06D33065"/>
    <w:rsid w:val="06E01069"/>
    <w:rsid w:val="07E700D0"/>
    <w:rsid w:val="080D8861"/>
    <w:rsid w:val="080E1B68"/>
    <w:rsid w:val="0855C2C4"/>
    <w:rsid w:val="08982849"/>
    <w:rsid w:val="08C5058B"/>
    <w:rsid w:val="08E73886"/>
    <w:rsid w:val="09801901"/>
    <w:rsid w:val="09CB742C"/>
    <w:rsid w:val="09E6CC32"/>
    <w:rsid w:val="09F460A0"/>
    <w:rsid w:val="0A55966F"/>
    <w:rsid w:val="0A5DFA2B"/>
    <w:rsid w:val="0A9A6688"/>
    <w:rsid w:val="0AB4C196"/>
    <w:rsid w:val="0AD421E8"/>
    <w:rsid w:val="0AFB564C"/>
    <w:rsid w:val="0B565EBF"/>
    <w:rsid w:val="0BC1C910"/>
    <w:rsid w:val="0BFBCE95"/>
    <w:rsid w:val="0C62DE11"/>
    <w:rsid w:val="0C903641"/>
    <w:rsid w:val="0CA7E0B7"/>
    <w:rsid w:val="0CB3BE4B"/>
    <w:rsid w:val="0CDCB514"/>
    <w:rsid w:val="0D151B66"/>
    <w:rsid w:val="0D344409"/>
    <w:rsid w:val="0D356194"/>
    <w:rsid w:val="0DDDEC00"/>
    <w:rsid w:val="0DFD82DB"/>
    <w:rsid w:val="0E4CDD48"/>
    <w:rsid w:val="0E846687"/>
    <w:rsid w:val="0EB7CF84"/>
    <w:rsid w:val="0EC7D1C3"/>
    <w:rsid w:val="0EE95848"/>
    <w:rsid w:val="0F9A0A7C"/>
    <w:rsid w:val="0F9F589D"/>
    <w:rsid w:val="10133799"/>
    <w:rsid w:val="102FB599"/>
    <w:rsid w:val="104A07AA"/>
    <w:rsid w:val="106C004C"/>
    <w:rsid w:val="1090394A"/>
    <w:rsid w:val="10C71B6B"/>
    <w:rsid w:val="10E91599"/>
    <w:rsid w:val="1112B9DC"/>
    <w:rsid w:val="1135239D"/>
    <w:rsid w:val="113E29D6"/>
    <w:rsid w:val="11900DCA"/>
    <w:rsid w:val="123FE1CF"/>
    <w:rsid w:val="1267ECA7"/>
    <w:rsid w:val="127C392C"/>
    <w:rsid w:val="128DF5E0"/>
    <w:rsid w:val="12D0F3FE"/>
    <w:rsid w:val="12D28795"/>
    <w:rsid w:val="131C2596"/>
    <w:rsid w:val="13513981"/>
    <w:rsid w:val="13ADCF50"/>
    <w:rsid w:val="13DD48E9"/>
    <w:rsid w:val="1455B9BF"/>
    <w:rsid w:val="14CF9EEC"/>
    <w:rsid w:val="157018CC"/>
    <w:rsid w:val="1599B729"/>
    <w:rsid w:val="159E1AE1"/>
    <w:rsid w:val="15C0544C"/>
    <w:rsid w:val="15C09401"/>
    <w:rsid w:val="15FDB023"/>
    <w:rsid w:val="16057C5B"/>
    <w:rsid w:val="16ADB9F8"/>
    <w:rsid w:val="16F38760"/>
    <w:rsid w:val="170EBCE4"/>
    <w:rsid w:val="1728E465"/>
    <w:rsid w:val="1739BC45"/>
    <w:rsid w:val="17A46521"/>
    <w:rsid w:val="18771231"/>
    <w:rsid w:val="189D5218"/>
    <w:rsid w:val="18C37E2D"/>
    <w:rsid w:val="18D98583"/>
    <w:rsid w:val="191A8D16"/>
    <w:rsid w:val="191D5396"/>
    <w:rsid w:val="1930E978"/>
    <w:rsid w:val="1937B739"/>
    <w:rsid w:val="19858A9D"/>
    <w:rsid w:val="1987A228"/>
    <w:rsid w:val="19996AA8"/>
    <w:rsid w:val="19D88E5E"/>
    <w:rsid w:val="19D997CF"/>
    <w:rsid w:val="1A0EA658"/>
    <w:rsid w:val="1A1BCA78"/>
    <w:rsid w:val="1A75A7FC"/>
    <w:rsid w:val="1A84A273"/>
    <w:rsid w:val="1B263E2A"/>
    <w:rsid w:val="1B3405EF"/>
    <w:rsid w:val="1B3F6345"/>
    <w:rsid w:val="1B75E9A2"/>
    <w:rsid w:val="1BBE23C9"/>
    <w:rsid w:val="1BDBEED9"/>
    <w:rsid w:val="1BE40BC4"/>
    <w:rsid w:val="1C0939D3"/>
    <w:rsid w:val="1C38B58C"/>
    <w:rsid w:val="1C457FD2"/>
    <w:rsid w:val="1CD933BF"/>
    <w:rsid w:val="1D6766C8"/>
    <w:rsid w:val="1E1CBFC2"/>
    <w:rsid w:val="1E4C245A"/>
    <w:rsid w:val="1E68968A"/>
    <w:rsid w:val="1E6A5B74"/>
    <w:rsid w:val="1E97C05B"/>
    <w:rsid w:val="1EA4779D"/>
    <w:rsid w:val="1EA6E01C"/>
    <w:rsid w:val="1EB0541B"/>
    <w:rsid w:val="1EBF15F0"/>
    <w:rsid w:val="1FF79149"/>
    <w:rsid w:val="200A6AD3"/>
    <w:rsid w:val="2012F1E3"/>
    <w:rsid w:val="20308F1C"/>
    <w:rsid w:val="20395792"/>
    <w:rsid w:val="2045D51B"/>
    <w:rsid w:val="2047DD34"/>
    <w:rsid w:val="2048D953"/>
    <w:rsid w:val="2071E8E4"/>
    <w:rsid w:val="209167FC"/>
    <w:rsid w:val="21051436"/>
    <w:rsid w:val="2170458F"/>
    <w:rsid w:val="217CB6AF"/>
    <w:rsid w:val="21BE7F87"/>
    <w:rsid w:val="21EBFEF8"/>
    <w:rsid w:val="22245375"/>
    <w:rsid w:val="2225E1FD"/>
    <w:rsid w:val="228E2093"/>
    <w:rsid w:val="22C2095C"/>
    <w:rsid w:val="22E672FE"/>
    <w:rsid w:val="23876E70"/>
    <w:rsid w:val="23B4D486"/>
    <w:rsid w:val="23D8F4CC"/>
    <w:rsid w:val="23EA308E"/>
    <w:rsid w:val="24254F4A"/>
    <w:rsid w:val="244C36B9"/>
    <w:rsid w:val="249117F7"/>
    <w:rsid w:val="2565F8DB"/>
    <w:rsid w:val="25C9543F"/>
    <w:rsid w:val="2600BCDF"/>
    <w:rsid w:val="2682D2A8"/>
    <w:rsid w:val="26AE281D"/>
    <w:rsid w:val="278DAB29"/>
    <w:rsid w:val="28535D7C"/>
    <w:rsid w:val="28A4CAC1"/>
    <w:rsid w:val="29401520"/>
    <w:rsid w:val="294D12B9"/>
    <w:rsid w:val="29583F7C"/>
    <w:rsid w:val="2959852E"/>
    <w:rsid w:val="2981BEE3"/>
    <w:rsid w:val="2982E436"/>
    <w:rsid w:val="29AF1A2F"/>
    <w:rsid w:val="29D2CE53"/>
    <w:rsid w:val="29E6DBCC"/>
    <w:rsid w:val="2A13A381"/>
    <w:rsid w:val="2A1A94EF"/>
    <w:rsid w:val="2A6BC2AC"/>
    <w:rsid w:val="2A7C434F"/>
    <w:rsid w:val="2A84E6B6"/>
    <w:rsid w:val="2AE21A6D"/>
    <w:rsid w:val="2AFB42CA"/>
    <w:rsid w:val="2B13ADE9"/>
    <w:rsid w:val="2B440674"/>
    <w:rsid w:val="2B5B59F8"/>
    <w:rsid w:val="2B71B63C"/>
    <w:rsid w:val="2BB39BE6"/>
    <w:rsid w:val="2BD05E0C"/>
    <w:rsid w:val="2BDD2AC2"/>
    <w:rsid w:val="2C3DEC0D"/>
    <w:rsid w:val="2C7F4EED"/>
    <w:rsid w:val="2CDCFB24"/>
    <w:rsid w:val="2CE6AB0D"/>
    <w:rsid w:val="2D19F14C"/>
    <w:rsid w:val="2D2F5F11"/>
    <w:rsid w:val="2D895257"/>
    <w:rsid w:val="2DB24ADF"/>
    <w:rsid w:val="2E27D9E4"/>
    <w:rsid w:val="2E2CA416"/>
    <w:rsid w:val="2EC27CA0"/>
    <w:rsid w:val="2EE669F9"/>
    <w:rsid w:val="2F19D1FC"/>
    <w:rsid w:val="30018D80"/>
    <w:rsid w:val="30131C96"/>
    <w:rsid w:val="302587C3"/>
    <w:rsid w:val="302ECB1B"/>
    <w:rsid w:val="3088A0A0"/>
    <w:rsid w:val="30A7D346"/>
    <w:rsid w:val="30F68C6A"/>
    <w:rsid w:val="31515BF1"/>
    <w:rsid w:val="315E5912"/>
    <w:rsid w:val="325F684D"/>
    <w:rsid w:val="32A0E7C3"/>
    <w:rsid w:val="32C35532"/>
    <w:rsid w:val="3313FE81"/>
    <w:rsid w:val="332BB005"/>
    <w:rsid w:val="33807224"/>
    <w:rsid w:val="3408C9C7"/>
    <w:rsid w:val="34550E97"/>
    <w:rsid w:val="34703C56"/>
    <w:rsid w:val="359CB1EC"/>
    <w:rsid w:val="35C5D85A"/>
    <w:rsid w:val="35F3C0D5"/>
    <w:rsid w:val="3604DAE2"/>
    <w:rsid w:val="3606186A"/>
    <w:rsid w:val="360D08D6"/>
    <w:rsid w:val="3689CC7B"/>
    <w:rsid w:val="369DA33C"/>
    <w:rsid w:val="36D52F30"/>
    <w:rsid w:val="37A7CFC6"/>
    <w:rsid w:val="3814AD73"/>
    <w:rsid w:val="389319F9"/>
    <w:rsid w:val="38BBEC29"/>
    <w:rsid w:val="38CCB598"/>
    <w:rsid w:val="38D94EDE"/>
    <w:rsid w:val="390F635C"/>
    <w:rsid w:val="397A1EC6"/>
    <w:rsid w:val="39AE0E8B"/>
    <w:rsid w:val="39B561CF"/>
    <w:rsid w:val="39BBF6D4"/>
    <w:rsid w:val="39F30A54"/>
    <w:rsid w:val="3A14B864"/>
    <w:rsid w:val="3A27EC47"/>
    <w:rsid w:val="3A3AF593"/>
    <w:rsid w:val="3ADADD50"/>
    <w:rsid w:val="3ADF7DDA"/>
    <w:rsid w:val="3AE079F9"/>
    <w:rsid w:val="3AEB82A5"/>
    <w:rsid w:val="3B56CD46"/>
    <w:rsid w:val="3B678393"/>
    <w:rsid w:val="3B74CF45"/>
    <w:rsid w:val="3BA2CCAA"/>
    <w:rsid w:val="3C4D58EE"/>
    <w:rsid w:val="3C705F78"/>
    <w:rsid w:val="3CF30C03"/>
    <w:rsid w:val="3D067E2F"/>
    <w:rsid w:val="3D6DE07F"/>
    <w:rsid w:val="3D6F9B54"/>
    <w:rsid w:val="3DF5BDFC"/>
    <w:rsid w:val="3E17A0E4"/>
    <w:rsid w:val="3E43E5FA"/>
    <w:rsid w:val="3E7665A6"/>
    <w:rsid w:val="3E8085F1"/>
    <w:rsid w:val="3EF99F42"/>
    <w:rsid w:val="3F07892E"/>
    <w:rsid w:val="3F17E780"/>
    <w:rsid w:val="3F46B58D"/>
    <w:rsid w:val="3F50725F"/>
    <w:rsid w:val="3F634C19"/>
    <w:rsid w:val="3F97E42A"/>
    <w:rsid w:val="3F9BFC92"/>
    <w:rsid w:val="3FA4C946"/>
    <w:rsid w:val="3FD97FE6"/>
    <w:rsid w:val="3FEA610B"/>
    <w:rsid w:val="3FFC179D"/>
    <w:rsid w:val="401B4578"/>
    <w:rsid w:val="4023FA08"/>
    <w:rsid w:val="40395A7D"/>
    <w:rsid w:val="404AB1F8"/>
    <w:rsid w:val="405036FD"/>
    <w:rsid w:val="410F4B1F"/>
    <w:rsid w:val="4190F3C6"/>
    <w:rsid w:val="41C4657F"/>
    <w:rsid w:val="41D4260F"/>
    <w:rsid w:val="42112BF7"/>
    <w:rsid w:val="4217C246"/>
    <w:rsid w:val="42B06DC5"/>
    <w:rsid w:val="42E18531"/>
    <w:rsid w:val="42FAD2CB"/>
    <w:rsid w:val="43A990CD"/>
    <w:rsid w:val="43AD70C6"/>
    <w:rsid w:val="43F2307D"/>
    <w:rsid w:val="4418D66C"/>
    <w:rsid w:val="44A70E03"/>
    <w:rsid w:val="44D5E2B0"/>
    <w:rsid w:val="44FD7DD9"/>
    <w:rsid w:val="4564E58E"/>
    <w:rsid w:val="45E47A31"/>
    <w:rsid w:val="46276C1B"/>
    <w:rsid w:val="46388905"/>
    <w:rsid w:val="46C276E3"/>
    <w:rsid w:val="46EE4898"/>
    <w:rsid w:val="4702F2F6"/>
    <w:rsid w:val="470AC00D"/>
    <w:rsid w:val="475EA4C6"/>
    <w:rsid w:val="48047B34"/>
    <w:rsid w:val="4834087A"/>
    <w:rsid w:val="4934B946"/>
    <w:rsid w:val="497A7F26"/>
    <w:rsid w:val="497E7C98"/>
    <w:rsid w:val="4996629F"/>
    <w:rsid w:val="4A0641ED"/>
    <w:rsid w:val="4A210313"/>
    <w:rsid w:val="4A4D9436"/>
    <w:rsid w:val="4A70AA35"/>
    <w:rsid w:val="4A72FC82"/>
    <w:rsid w:val="4B382555"/>
    <w:rsid w:val="4B3CEED8"/>
    <w:rsid w:val="4B53C7A1"/>
    <w:rsid w:val="4BC46809"/>
    <w:rsid w:val="4BC60A89"/>
    <w:rsid w:val="4BE34FEF"/>
    <w:rsid w:val="4BF06986"/>
    <w:rsid w:val="4C27F82F"/>
    <w:rsid w:val="4C4503CC"/>
    <w:rsid w:val="4CDD61CD"/>
    <w:rsid w:val="4CE36623"/>
    <w:rsid w:val="4CFC7498"/>
    <w:rsid w:val="4D3BD508"/>
    <w:rsid w:val="4D47FF8E"/>
    <w:rsid w:val="4D776AAA"/>
    <w:rsid w:val="4D9E8F45"/>
    <w:rsid w:val="4DC350AB"/>
    <w:rsid w:val="4DDA039D"/>
    <w:rsid w:val="4E18956D"/>
    <w:rsid w:val="4E4155C5"/>
    <w:rsid w:val="4EB6F62D"/>
    <w:rsid w:val="4F07DCFC"/>
    <w:rsid w:val="4F29F518"/>
    <w:rsid w:val="4F86A159"/>
    <w:rsid w:val="4FA539C9"/>
    <w:rsid w:val="4FD8B31A"/>
    <w:rsid w:val="501259E8"/>
    <w:rsid w:val="501B1165"/>
    <w:rsid w:val="508746E3"/>
    <w:rsid w:val="50EA9D61"/>
    <w:rsid w:val="5116A23E"/>
    <w:rsid w:val="51471ED0"/>
    <w:rsid w:val="519294E9"/>
    <w:rsid w:val="5198ACB7"/>
    <w:rsid w:val="5198AF9F"/>
    <w:rsid w:val="52397508"/>
    <w:rsid w:val="52FA7B58"/>
    <w:rsid w:val="532D7E19"/>
    <w:rsid w:val="539A04EF"/>
    <w:rsid w:val="53A02FFE"/>
    <w:rsid w:val="53C09D3B"/>
    <w:rsid w:val="53C83D8A"/>
    <w:rsid w:val="53E07664"/>
    <w:rsid w:val="5428DA6F"/>
    <w:rsid w:val="544CCACD"/>
    <w:rsid w:val="548FD9E0"/>
    <w:rsid w:val="554CD7CC"/>
    <w:rsid w:val="55875F93"/>
    <w:rsid w:val="55A86C27"/>
    <w:rsid w:val="55C5C0B8"/>
    <w:rsid w:val="561AD23E"/>
    <w:rsid w:val="56A4CA89"/>
    <w:rsid w:val="576B8A67"/>
    <w:rsid w:val="582A6C9D"/>
    <w:rsid w:val="583DE5AF"/>
    <w:rsid w:val="5872B32A"/>
    <w:rsid w:val="588E0FFC"/>
    <w:rsid w:val="58981AB4"/>
    <w:rsid w:val="58AEBF42"/>
    <w:rsid w:val="58FE1FD9"/>
    <w:rsid w:val="5982A8EB"/>
    <w:rsid w:val="59CCE136"/>
    <w:rsid w:val="59EC41CA"/>
    <w:rsid w:val="59F7ACD8"/>
    <w:rsid w:val="5A05B16A"/>
    <w:rsid w:val="5AF82401"/>
    <w:rsid w:val="5BA87419"/>
    <w:rsid w:val="5BB92FB1"/>
    <w:rsid w:val="5BC03B8F"/>
    <w:rsid w:val="5C040A43"/>
    <w:rsid w:val="5C3ABF0B"/>
    <w:rsid w:val="5C4246EF"/>
    <w:rsid w:val="5C7D8D0B"/>
    <w:rsid w:val="5D5ACC87"/>
    <w:rsid w:val="5D6CA815"/>
    <w:rsid w:val="5DC4E22B"/>
    <w:rsid w:val="5DE7F6F5"/>
    <w:rsid w:val="5E4B4FC7"/>
    <w:rsid w:val="5EB76A09"/>
    <w:rsid w:val="5EECBD79"/>
    <w:rsid w:val="5F1CA998"/>
    <w:rsid w:val="5F519C39"/>
    <w:rsid w:val="5F683AAA"/>
    <w:rsid w:val="5F713B12"/>
    <w:rsid w:val="5FA0CB67"/>
    <w:rsid w:val="5FE1C94E"/>
    <w:rsid w:val="604CA162"/>
    <w:rsid w:val="606C5534"/>
    <w:rsid w:val="6088CA3C"/>
    <w:rsid w:val="6094C02E"/>
    <w:rsid w:val="6098103A"/>
    <w:rsid w:val="609B5201"/>
    <w:rsid w:val="60BFF686"/>
    <w:rsid w:val="60C1BEAD"/>
    <w:rsid w:val="60C962D2"/>
    <w:rsid w:val="60CDB772"/>
    <w:rsid w:val="60CE65A1"/>
    <w:rsid w:val="61A8F975"/>
    <w:rsid w:val="61EBAFCD"/>
    <w:rsid w:val="6219D846"/>
    <w:rsid w:val="626109BA"/>
    <w:rsid w:val="62688879"/>
    <w:rsid w:val="62C5B877"/>
    <w:rsid w:val="62CA49F7"/>
    <w:rsid w:val="62DC6F9D"/>
    <w:rsid w:val="634825F5"/>
    <w:rsid w:val="637B8DE1"/>
    <w:rsid w:val="63A561DD"/>
    <w:rsid w:val="64743C8A"/>
    <w:rsid w:val="649AA7D2"/>
    <w:rsid w:val="64AA6BB2"/>
    <w:rsid w:val="64AC71D2"/>
    <w:rsid w:val="653A5B37"/>
    <w:rsid w:val="6569CE02"/>
    <w:rsid w:val="65843A35"/>
    <w:rsid w:val="65ADF02D"/>
    <w:rsid w:val="65DBFCB4"/>
    <w:rsid w:val="66051709"/>
    <w:rsid w:val="666BCE54"/>
    <w:rsid w:val="666D2523"/>
    <w:rsid w:val="668B6F5A"/>
    <w:rsid w:val="669104CD"/>
    <w:rsid w:val="66A5D611"/>
    <w:rsid w:val="66FFB729"/>
    <w:rsid w:val="670A9304"/>
    <w:rsid w:val="670B5D51"/>
    <w:rsid w:val="67803E32"/>
    <w:rsid w:val="67A94044"/>
    <w:rsid w:val="67C38904"/>
    <w:rsid w:val="68E3A619"/>
    <w:rsid w:val="693E2039"/>
    <w:rsid w:val="695E6717"/>
    <w:rsid w:val="698A9F0C"/>
    <w:rsid w:val="6A311427"/>
    <w:rsid w:val="6AB6FB5E"/>
    <w:rsid w:val="6ABB572D"/>
    <w:rsid w:val="6AC2A2FC"/>
    <w:rsid w:val="6B9072C1"/>
    <w:rsid w:val="6C129C0B"/>
    <w:rsid w:val="6C303294"/>
    <w:rsid w:val="6C52CBBF"/>
    <w:rsid w:val="6C638327"/>
    <w:rsid w:val="6CEFF119"/>
    <w:rsid w:val="6D13D26E"/>
    <w:rsid w:val="6D352BA2"/>
    <w:rsid w:val="6E6C7614"/>
    <w:rsid w:val="6EBA40D5"/>
    <w:rsid w:val="6EC38A75"/>
    <w:rsid w:val="6ECFD8A6"/>
    <w:rsid w:val="6F0EE1C3"/>
    <w:rsid w:val="6F4DA988"/>
    <w:rsid w:val="6F7BA158"/>
    <w:rsid w:val="6F8A6C81"/>
    <w:rsid w:val="6FAEAE8B"/>
    <w:rsid w:val="6FEFD48C"/>
    <w:rsid w:val="6FFFD54C"/>
    <w:rsid w:val="7034461C"/>
    <w:rsid w:val="703A6775"/>
    <w:rsid w:val="706CDB9A"/>
    <w:rsid w:val="70AD094E"/>
    <w:rsid w:val="70B9DA3C"/>
    <w:rsid w:val="7103A3B7"/>
    <w:rsid w:val="713B5A59"/>
    <w:rsid w:val="71C32405"/>
    <w:rsid w:val="7229CD48"/>
    <w:rsid w:val="72B7ADD5"/>
    <w:rsid w:val="72EC2100"/>
    <w:rsid w:val="73224899"/>
    <w:rsid w:val="7337D2FE"/>
    <w:rsid w:val="73537F76"/>
    <w:rsid w:val="73780EEE"/>
    <w:rsid w:val="737A420F"/>
    <w:rsid w:val="737D7A49"/>
    <w:rsid w:val="73D95CEA"/>
    <w:rsid w:val="740B051A"/>
    <w:rsid w:val="74197D62"/>
    <w:rsid w:val="7456CDF5"/>
    <w:rsid w:val="747446C6"/>
    <w:rsid w:val="74F19861"/>
    <w:rsid w:val="75404FB2"/>
    <w:rsid w:val="756D5D03"/>
    <w:rsid w:val="75D45FA5"/>
    <w:rsid w:val="75FB7A5D"/>
    <w:rsid w:val="764EAA92"/>
    <w:rsid w:val="766D63C0"/>
    <w:rsid w:val="767BC673"/>
    <w:rsid w:val="76C9B470"/>
    <w:rsid w:val="76E022B7"/>
    <w:rsid w:val="7736A919"/>
    <w:rsid w:val="777C519C"/>
    <w:rsid w:val="77AAA2C9"/>
    <w:rsid w:val="77DD5F1B"/>
    <w:rsid w:val="780A61CC"/>
    <w:rsid w:val="787CA862"/>
    <w:rsid w:val="79166143"/>
    <w:rsid w:val="792528C4"/>
    <w:rsid w:val="793D524B"/>
    <w:rsid w:val="79AB1783"/>
    <w:rsid w:val="79E3A022"/>
    <w:rsid w:val="79FF81EA"/>
    <w:rsid w:val="7A1AE74B"/>
    <w:rsid w:val="7A2D224F"/>
    <w:rsid w:val="7A8A48B0"/>
    <w:rsid w:val="7AFD25CB"/>
    <w:rsid w:val="7B35577B"/>
    <w:rsid w:val="7B49BAC4"/>
    <w:rsid w:val="7B6CFFE8"/>
    <w:rsid w:val="7B85974F"/>
    <w:rsid w:val="7B8B336F"/>
    <w:rsid w:val="7BBC366A"/>
    <w:rsid w:val="7BC97067"/>
    <w:rsid w:val="7BDA75F6"/>
    <w:rsid w:val="7C0C11FE"/>
    <w:rsid w:val="7C336CA0"/>
    <w:rsid w:val="7C408ABF"/>
    <w:rsid w:val="7C52FBCF"/>
    <w:rsid w:val="7C563DC2"/>
    <w:rsid w:val="7CC9BE1C"/>
    <w:rsid w:val="7D0A65DB"/>
    <w:rsid w:val="7D10C19B"/>
    <w:rsid w:val="7D6D49E1"/>
    <w:rsid w:val="7DF91FD2"/>
    <w:rsid w:val="7E3B6065"/>
    <w:rsid w:val="7E8437B2"/>
    <w:rsid w:val="7F1C1F1D"/>
    <w:rsid w:val="7F5141FD"/>
    <w:rsid w:val="7F8BC8BF"/>
    <w:rsid w:val="7F8F1C80"/>
    <w:rsid w:val="7F945CF6"/>
    <w:rsid w:val="7FB9CB1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14002BEB-C001-4B14-8751-C1AF108B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
    <w:link w:val="ListParagraph"/>
    <w:uiPriority w:val="34"/>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character" w:styleId="UnresolvedMention">
    <w:name w:val="Unresolved Mention"/>
    <w:basedOn w:val="DefaultParagraphFont"/>
    <w:uiPriority w:val="99"/>
    <w:semiHidden/>
    <w:unhideWhenUsed/>
    <w:rsid w:val="00136858"/>
    <w:rPr>
      <w:color w:val="605E5C"/>
      <w:shd w:val="clear" w:color="auto" w:fill="E1DFDD"/>
    </w:rPr>
  </w:style>
  <w:style w:type="character" w:customStyle="1" w:styleId="ts-alignment-element">
    <w:name w:val="ts-alignment-element"/>
    <w:basedOn w:val="DefaultParagraphFont"/>
    <w:rsid w:val="002F1DA5"/>
  </w:style>
  <w:style w:type="paragraph" w:styleId="Revision">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52998994">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dmila.Juskevica@s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risa.K&#316;ava@sa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ta.Berzina@sa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dzl.lv/storage/uploads/Jv3DkLEWKU4AfSbKKXHYov2jCxQa7oKzbGgAfol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70bfd-22b1-412c-a180-1cbc292fcd09">
      <UserInfo>
        <DisplayName>Agnese Meikšāne</DisplayName>
        <AccountId>12</AccountId>
        <AccountType/>
      </UserInfo>
      <UserInfo>
        <DisplayName>Ludmila Juškeviča</DisplayName>
        <AccountId>31</AccountId>
        <AccountType/>
      </UserInfo>
      <UserInfo>
        <DisplayName>Larisa Kļava</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3" ma:contentTypeDescription="Create a new document." ma:contentTypeScope="" ma:versionID="6d11fcf012c6fb4aac4356715e909853">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1cb0442ede4391ef2f2e775341ec1b0"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s>
</ds:datastoreItem>
</file>

<file path=customXml/itemProps2.xml><?xml version="1.0" encoding="utf-8"?>
<ds:datastoreItem xmlns:ds="http://schemas.openxmlformats.org/officeDocument/2006/customXml" ds:itemID="{98BE4A09-ABCD-415F-B5DA-66E04831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4.xml><?xml version="1.0" encoding="utf-8"?>
<ds:datastoreItem xmlns:ds="http://schemas.openxmlformats.org/officeDocument/2006/customXml" ds:itemID="{649DED33-D4C2-4380-8BFE-F12047FE5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Informatīvais ziņojums par Rail Baltica projekta ieviešanas progresu Latvijā</vt:lpstr>
    </vt:vector>
  </TitlesOfParts>
  <Company/>
  <LinksUpToDate>false</LinksUpToDate>
  <CharactersWithSpaces>25545</CharactersWithSpaces>
  <SharedDoc>false</SharedDoc>
  <HLinks>
    <vt:vector size="30" baseType="variant">
      <vt:variant>
        <vt:i4>7667797</vt:i4>
      </vt:variant>
      <vt:variant>
        <vt:i4>9</vt:i4>
      </vt:variant>
      <vt:variant>
        <vt:i4>0</vt:i4>
      </vt:variant>
      <vt:variant>
        <vt:i4>5</vt:i4>
      </vt:variant>
      <vt:variant>
        <vt:lpwstr>mailto:Ludmila.Juskevica@sam.gov.lv</vt:lpwstr>
      </vt:variant>
      <vt:variant>
        <vt:lpwstr/>
      </vt:variant>
      <vt:variant>
        <vt:i4>22216747</vt:i4>
      </vt:variant>
      <vt:variant>
        <vt:i4>6</vt:i4>
      </vt:variant>
      <vt:variant>
        <vt:i4>0</vt:i4>
      </vt:variant>
      <vt:variant>
        <vt:i4>5</vt:i4>
      </vt:variant>
      <vt:variant>
        <vt:lpwstr>mailto:Larisa.Kļava@sam.gov.lv</vt:lpwstr>
      </vt:variant>
      <vt:variant>
        <vt:lpwstr/>
      </vt:variant>
      <vt:variant>
        <vt:i4>8257603</vt:i4>
      </vt:variant>
      <vt:variant>
        <vt:i4>3</vt:i4>
      </vt:variant>
      <vt:variant>
        <vt:i4>0</vt:i4>
      </vt:variant>
      <vt:variant>
        <vt:i4>5</vt:i4>
      </vt:variant>
      <vt:variant>
        <vt:lpwstr>mailto:Olita.Berzina@sam.gov.lv</vt:lpwstr>
      </vt:variant>
      <vt:variant>
        <vt:lpwstr/>
      </vt:variant>
      <vt:variant>
        <vt:i4>7012449</vt:i4>
      </vt:variant>
      <vt:variant>
        <vt:i4>0</vt:i4>
      </vt:variant>
      <vt:variant>
        <vt:i4>0</vt:i4>
      </vt:variant>
      <vt:variant>
        <vt:i4>5</vt:i4>
      </vt:variant>
      <vt:variant>
        <vt:lpwstr>https://euc-word-edit.officeapps.live.com/we/wordeditorframe.aspx?ui=en%2DUS&amp;rs=en%2DUS&amp;wopisrc=https%3A%2F%2Fsamgov.sharepoint.com%2Fsites%2FRB_Nodala%2F_vti_bin%2Fwopi.ashx%2Ffiles%2F31d5e910ac884a2b9ec1ea47c5399cb3&amp;wdenableroaming=1&amp;mscc=1&amp;hid=5F901A1B-A02E-45CD-B485-439CB19F322A&amp;wdorigin=AuthPrompt&amp;jsapi=1&amp;jsapiver=v1&amp;newsession=1&amp;corrid=4dea35b3-48f0-49a9-b9c7-0744911349cd&amp;usid=4dea35b3-48f0-49a9-b9c7-0744911349cd&amp;sftc=1&amp;mtf=1&amp;sfp=1&amp;instantedit=1&amp;wopicomplete=1&amp;wdredirectionreason=Unified_SingleFlush&amp;rct=Medium&amp;ctp=LeastProtected</vt:lpwstr>
      </vt:variant>
      <vt:variant>
        <vt:lpwstr>_ftn2</vt:lpwstr>
      </vt:variant>
      <vt:variant>
        <vt:i4>4194381</vt:i4>
      </vt:variant>
      <vt:variant>
        <vt:i4>0</vt:i4>
      </vt:variant>
      <vt:variant>
        <vt:i4>0</vt:i4>
      </vt:variant>
      <vt:variant>
        <vt:i4>5</vt:i4>
      </vt:variant>
      <vt:variant>
        <vt:lpwstr>https://edzl.lv/storage/uploads/Jv3DkLEWKU4AfSbKKXHYov2jCxQa7oKzbGgAfolk.pdf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ieviešanas progresu Latvijā</dc:title>
  <dc:subject>Informatīvais ziņojums</dc:subject>
  <dc:creator>Olita.Berzina@sam.gov.lv</dc:creator>
  <cp:keywords/>
  <dc:description>olita.berzina@sam.gov.lv; Tel.:67028083</dc:description>
  <cp:lastModifiedBy>Kārlis Eņģelis</cp:lastModifiedBy>
  <cp:revision>2</cp:revision>
  <cp:lastPrinted>2021-02-23T21:37:00Z</cp:lastPrinted>
  <dcterms:created xsi:type="dcterms:W3CDTF">2022-03-10T15:31:00Z</dcterms:created>
  <dcterms:modified xsi:type="dcterms:W3CDTF">2022-03-10T15:31:00Z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ies>
</file>