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1D5" w:rsidRPr="00BC022F" w:rsidRDefault="00AE03EF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Cs/>
          <w:sz w:val="24"/>
          <w:szCs w:val="24"/>
          <w:lang w:eastAsia="lv-LV"/>
        </w:rPr>
        <w:t>6</w:t>
      </w:r>
      <w:r w:rsidR="00BA51D5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:rsidR="00BA51D5" w:rsidRPr="00BC022F" w:rsidRDefault="006D6FE9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projekta i</w:t>
      </w:r>
      <w:r w:rsidR="002E456E">
        <w:rPr>
          <w:rFonts w:ascii="Times New Roman" w:hAnsi="Times New Roman" w:cs="Times New Roman"/>
          <w:bCs/>
          <w:sz w:val="24"/>
          <w:szCs w:val="24"/>
          <w:lang w:eastAsia="lv-LV"/>
        </w:rPr>
        <w:t>nformācija</w:t>
      </w:r>
      <w:r w:rsidR="00CA7CEF">
        <w:rPr>
          <w:rFonts w:ascii="Times New Roman" w:hAnsi="Times New Roman" w:cs="Times New Roman"/>
          <w:bCs/>
          <w:sz w:val="24"/>
          <w:szCs w:val="24"/>
          <w:lang w:eastAsia="lv-LV"/>
        </w:rPr>
        <w:t>i</w:t>
      </w:r>
    </w:p>
    <w:p w:rsidR="007461C4" w:rsidRDefault="007461C4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BA51D5" w:rsidRPr="006941EF" w:rsidRDefault="006941EF" w:rsidP="006941EF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941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un to integrāciju iekšējās kontroles </w:t>
      </w:r>
      <w:r w:rsidRPr="00723646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51D5" w:rsidRPr="00BC022F" w:rsidTr="001353C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:rsidTr="001353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</w:p>
          <w:p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BA51D5" w:rsidRPr="00BC022F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</w:t>
      </w:r>
      <w:r w:rsidR="002E456E">
        <w:rPr>
          <w:rFonts w:ascii="Times New Roman" w:hAnsi="Times New Roman" w:cs="Times New Roman"/>
          <w:sz w:val="24"/>
          <w:szCs w:val="24"/>
          <w:lang w:eastAsia="lv-LV"/>
        </w:rPr>
        <w:t>nformācijas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prasībām, kura sevī ietver:</w:t>
      </w:r>
    </w:p>
    <w:p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51D5" w:rsidRPr="00BC022F" w:rsidTr="001353C6">
        <w:tc>
          <w:tcPr>
            <w:tcW w:w="1413" w:type="dxa"/>
          </w:tcPr>
          <w:p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:rsidTr="001353C6">
        <w:tc>
          <w:tcPr>
            <w:tcW w:w="1413" w:type="dxa"/>
            <w:vMerge w:val="restart"/>
          </w:tcPr>
          <w:p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:rsidTr="001353C6">
        <w:tc>
          <w:tcPr>
            <w:tcW w:w="0" w:type="auto"/>
            <w:vMerge/>
            <w:vAlign w:val="center"/>
            <w:hideMark/>
          </w:tcPr>
          <w:p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:rsidR="0072099E" w:rsidRPr="00BA51D5" w:rsidRDefault="0072099E" w:rsidP="00BA51D5"/>
    <w:sectPr w:rsidR="0072099E" w:rsidRPr="00BA51D5" w:rsidSect="003656D6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6D6" w:rsidRDefault="003656D6" w:rsidP="00BA51D5">
      <w:pPr>
        <w:spacing w:before="0" w:after="0"/>
      </w:pPr>
      <w:r>
        <w:separator/>
      </w:r>
    </w:p>
  </w:endnote>
  <w:endnote w:type="continuationSeparator" w:id="0">
    <w:p w:rsidR="003656D6" w:rsidRDefault="003656D6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6D6" w:rsidRDefault="003656D6" w:rsidP="00BA51D5">
      <w:pPr>
        <w:spacing w:before="0" w:after="0"/>
      </w:pPr>
      <w:r>
        <w:separator/>
      </w:r>
    </w:p>
  </w:footnote>
  <w:footnote w:type="continuationSeparator" w:id="0">
    <w:p w:rsidR="003656D6" w:rsidRDefault="003656D6" w:rsidP="00BA51D5">
      <w:pPr>
        <w:spacing w:before="0" w:after="0"/>
      </w:pPr>
      <w:r>
        <w:continuationSeparator/>
      </w:r>
    </w:p>
  </w:footnote>
  <w:footnote w:id="1">
    <w:p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2">
    <w:p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</w:t>
      </w:r>
      <w:r w:rsidRPr="006A13A8">
        <w:rPr>
          <w:rFonts w:ascii="Times New Roman" w:hAnsi="Times New Roman" w:cs="Times New Roman"/>
        </w:rPr>
        <w:t>Eiropas Parlamenta un Padomes 2014. gada 26. februāra Direktīva Nr. 2014/24/ES par publisko iepirkumu un ar ko atceļ Direktīvu 2004/18/EK Dokuments attiecas uz EEZ</w:t>
      </w:r>
    </w:p>
  </w:footnote>
  <w:footnote w:id="3">
    <w:p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</w:t>
      </w:r>
      <w:r w:rsidRPr="006A13A8">
        <w:rPr>
          <w:rFonts w:ascii="Times New Roman" w:hAnsi="Times New Roman" w:cs="Times New Roman"/>
        </w:rPr>
        <w:t>Komisijas paziņojums “Norādījumi par izvairīšanos no interešu konfliktiem un to pārvaldību saskaņā ar Finanšu regulu” 2021/C 121/01, C/2021/2119</w:t>
      </w:r>
    </w:p>
  </w:footnote>
  <w:footnote w:id="4">
    <w:p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</w:t>
      </w:r>
      <w:r w:rsidRPr="006A13A8">
        <w:rPr>
          <w:rFonts w:ascii="Times New Roman" w:hAnsi="Times New Roman" w:cs="Times New Roman"/>
        </w:rPr>
        <w:t>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1F2CC6"/>
    <w:rsid w:val="00276EFD"/>
    <w:rsid w:val="002E456E"/>
    <w:rsid w:val="003656D6"/>
    <w:rsid w:val="003B2CEA"/>
    <w:rsid w:val="00491D64"/>
    <w:rsid w:val="00551AC0"/>
    <w:rsid w:val="005F37DB"/>
    <w:rsid w:val="00673D1B"/>
    <w:rsid w:val="006941EF"/>
    <w:rsid w:val="006D6FE9"/>
    <w:rsid w:val="0072099E"/>
    <w:rsid w:val="00723646"/>
    <w:rsid w:val="007461C4"/>
    <w:rsid w:val="00834162"/>
    <w:rsid w:val="009A6D89"/>
    <w:rsid w:val="00AE03EF"/>
    <w:rsid w:val="00B87EF2"/>
    <w:rsid w:val="00BA51D5"/>
    <w:rsid w:val="00C05CCC"/>
    <w:rsid w:val="00C3705E"/>
    <w:rsid w:val="00CA7CEF"/>
    <w:rsid w:val="00CF26AA"/>
    <w:rsid w:val="00E5317D"/>
    <w:rsid w:val="00EC0830"/>
    <w:rsid w:val="00EC0B5D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7" ma:contentTypeDescription="Create a new document." ma:contentTypeScope="" ma:versionID="2ff46f857511968f445af8e2c05f77df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5799b7230f130dd4fb61e7445d57b11b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D42D1-36D5-4E65-A84A-BF768020ADBC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customXml/itemProps2.xml><?xml version="1.0" encoding="utf-8"?>
<ds:datastoreItem xmlns:ds="http://schemas.openxmlformats.org/officeDocument/2006/customXml" ds:itemID="{A36428BF-C60E-41D4-BB11-1A033E23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0F211-D56D-4481-934F-D62F5CCB6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Raimonds Grants</cp:lastModifiedBy>
  <cp:revision>1</cp:revision>
  <dcterms:created xsi:type="dcterms:W3CDTF">2024-01-22T14:49:00Z</dcterms:created>
  <dcterms:modified xsi:type="dcterms:W3CDTF">2024-01-22T14:49:00Z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