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0E6C2B" w:rsidRDefault="00000000">
      <w:pPr>
        <w:pStyle w:val="paragraphheader"/>
        <w:contextualSpacing w:val="0"/>
        <w:jc w:val="center"/>
        <w:rPr>
          <w:b/>
        </w:rPr>
      </w:pPr>
      <w:r>
        <w:rPr>
          <w:b/>
        </w:rPr>
        <w:t>Eiropas Savienības Atveseļošanas un noturības mehānisma plāna 2.4. reformu un investīciju virziena "Digitālās infrastruktūras transformācija'' 2.4.1.2.i. investīcijas ''Platjoslas jeb ļoti augstas veiktspējas tīklu ''pēdējās jūdzes'' infrastruktūras attīstība" īstenošanas noteikumi</w:t>
      </w:r>
    </w:p>
    <w:p w:rsidR="000E6C2B" w:rsidRDefault="00000000">
      <w:pPr>
        <w:pStyle w:val="paragraph"/>
        <w:ind w:left="4820"/>
        <w:contextualSpacing w:val="0"/>
        <w:jc w:val="right"/>
      </w:pPr>
      <w:r>
        <w:rPr>
          <w:i/>
        </w:rPr>
        <w:t>Izdoti saskaņā ar Likuma par budžetu un finanšu vadību 19.</w:t>
      </w:r>
      <w:r>
        <w:rPr>
          <w:i/>
          <w:vertAlign w:val="superscript"/>
        </w:rPr>
        <w:t>3</w:t>
      </w:r>
      <w:r>
        <w:rPr>
          <w:i/>
        </w:rPr>
        <w:t xml:space="preserve"> panta otro daļu </w:t>
      </w:r>
    </w:p>
    <w:p w:rsidR="000E6C2B" w:rsidRDefault="00000000">
      <w:pPr>
        <w:pStyle w:val="paragraphheader"/>
        <w:contextualSpacing w:val="0"/>
        <w:jc w:val="center"/>
        <w:rPr>
          <w:b/>
        </w:rPr>
      </w:pPr>
      <w:r>
        <w:rPr>
          <w:b/>
        </w:rPr>
        <w:t>I.</w:t>
      </w:r>
      <w:r>
        <w:t xml:space="preserve"> </w:t>
      </w:r>
      <w:r>
        <w:rPr>
          <w:b/>
        </w:rPr>
        <w:t>Vispārīgie jautājumi</w:t>
      </w:r>
    </w:p>
    <w:p w:rsidR="000E6C2B" w:rsidRDefault="00000000">
      <w:pPr>
        <w:numPr>
          <w:ilvl w:val="0"/>
          <w:numId w:val="1"/>
        </w:numPr>
        <w:spacing w:before="280"/>
        <w:ind w:firstLine="706"/>
      </w:pPr>
      <w:r>
        <w:t>1. Noteikumi nosaka: </w:t>
      </w:r>
    </w:p>
    <w:p w:rsidR="000E6C2B" w:rsidRDefault="00000000">
      <w:pPr>
        <w:numPr>
          <w:ilvl w:val="1"/>
          <w:numId w:val="1"/>
        </w:numPr>
        <w:ind w:firstLine="706"/>
      </w:pPr>
      <w:r>
        <w:t>1.1. Eiropas Savienības Atveseļošanas un noturības mehānisma (turpmāk - Atveseļošanas fonds) plāna reformu un investīciju virziena ''Digitālās infrastruktūras transformācija'' 2.4.1.2.i. investīcijas ''Platjoslas jeb ļoti augstas veiktspējas tīklu ''pēdējās jūdzes'' infrastruktūras attīstība'' (turpmāk - 2.4.1.2.i. investīcija) mērķi, rādītājus un atskaites punktus; </w:t>
      </w:r>
    </w:p>
    <w:p w:rsidR="000E6C2B" w:rsidRDefault="00000000">
      <w:pPr>
        <w:numPr>
          <w:ilvl w:val="1"/>
          <w:numId w:val="1"/>
        </w:numPr>
        <w:ind w:firstLine="706"/>
      </w:pPr>
      <w:r>
        <w:t>1.2. pieejamo finansējumu un maksājumu veikšanas kārtību; </w:t>
      </w:r>
    </w:p>
    <w:p w:rsidR="000E6C2B" w:rsidRDefault="00000000">
      <w:pPr>
        <w:numPr>
          <w:ilvl w:val="1"/>
          <w:numId w:val="1"/>
        </w:numPr>
        <w:ind w:firstLine="706"/>
      </w:pPr>
      <w:r>
        <w:t>1.3. 2.4.1.2.i. investīcijas īstenošanas nosacījumus un kārtību; </w:t>
      </w:r>
    </w:p>
    <w:p w:rsidR="000E6C2B" w:rsidRDefault="00000000">
      <w:pPr>
        <w:numPr>
          <w:ilvl w:val="1"/>
          <w:numId w:val="1"/>
        </w:numPr>
        <w:ind w:firstLine="706"/>
      </w:pPr>
      <w:r>
        <w:t>1.4. atbalstāmās darbības, attiecināmās izmaksas un to nosacījumus;</w:t>
      </w:r>
    </w:p>
    <w:p w:rsidR="000E6C2B" w:rsidRDefault="00000000">
      <w:pPr>
        <w:numPr>
          <w:ilvl w:val="1"/>
          <w:numId w:val="1"/>
        </w:numPr>
        <w:ind w:firstLine="706"/>
      </w:pPr>
      <w:r>
        <w:t>1.5. atbildības sadalījumu starp iesaistītajām institūcijām un finansējuma saņēmēju;  </w:t>
      </w:r>
    </w:p>
    <w:p w:rsidR="000E6C2B" w:rsidRDefault="00000000">
      <w:pPr>
        <w:numPr>
          <w:ilvl w:val="1"/>
          <w:numId w:val="1"/>
        </w:numPr>
        <w:ind w:firstLine="706"/>
      </w:pPr>
      <w:r>
        <w:t>1.6. vizuālās identitātes prasības;  </w:t>
      </w:r>
    </w:p>
    <w:p w:rsidR="000E6C2B" w:rsidRDefault="00000000">
      <w:pPr>
        <w:numPr>
          <w:ilvl w:val="1"/>
          <w:numId w:val="1"/>
        </w:numPr>
        <w:ind w:firstLine="706"/>
      </w:pPr>
      <w:r>
        <w:t>1.7. dokumentu glabāšanas nosacījumus un ilgumu; </w:t>
      </w:r>
    </w:p>
    <w:p w:rsidR="000E6C2B" w:rsidRDefault="00000000">
      <w:pPr>
        <w:numPr>
          <w:ilvl w:val="1"/>
          <w:numId w:val="1"/>
        </w:numPr>
        <w:ind w:firstLine="706"/>
      </w:pPr>
      <w:r>
        <w:t>1.8. komercdarbības atbalsta nosacījumus.</w:t>
      </w:r>
    </w:p>
    <w:p w:rsidR="000E6C2B" w:rsidRDefault="00000000">
      <w:pPr>
        <w:numPr>
          <w:ilvl w:val="0"/>
          <w:numId w:val="1"/>
        </w:numPr>
        <w:spacing w:before="280"/>
        <w:ind w:firstLine="706"/>
      </w:pPr>
      <w:r>
        <w:t>2. 2.4.1.2.i. investīcija tiek īstenota visā Latvijas teritorijā, izņemot tās teritorijas, kurās ir piekļuve, tas ir, noslēgts līgums vai ir iespēja noslēgt līgumu ar elektronisko sakaru uzņēmumu un uzsākt pakalpojuma saņemšanu indikatīvi mēneša laikā no pakalpojuma pieteikuma (turpmāk - piekļuve), ļoti augstas veiktspējas tīklam ar lejupielādes un augšupielādes datu pārraides ātrumu vismaz 100 Mbit/s.</w:t>
      </w:r>
    </w:p>
    <w:p w:rsidR="000E6C2B" w:rsidRDefault="00000000">
      <w:pPr>
        <w:numPr>
          <w:ilvl w:val="0"/>
          <w:numId w:val="1"/>
        </w:numPr>
        <w:spacing w:before="280"/>
        <w:ind w:firstLine="706"/>
      </w:pPr>
      <w:r>
        <w:t>3. 2.4.1.2.i. investīciju īsteno līdz 2026. gada 31. augustam.</w:t>
      </w:r>
    </w:p>
    <w:p w:rsidR="000E6C2B" w:rsidRDefault="00000000">
      <w:pPr>
        <w:numPr>
          <w:ilvl w:val="0"/>
          <w:numId w:val="1"/>
        </w:numPr>
        <w:spacing w:before="280"/>
        <w:ind w:firstLine="706"/>
      </w:pPr>
      <w:r>
        <w:t>4. 2.4.1.2.i. investīcijas nozares ministrijas funkcijas pilda Satiksmes ministrija (turpmāk - nozares ministrija). </w:t>
      </w:r>
    </w:p>
    <w:p w:rsidR="000E6C2B" w:rsidRDefault="00000000">
      <w:pPr>
        <w:numPr>
          <w:ilvl w:val="0"/>
          <w:numId w:val="1"/>
        </w:numPr>
        <w:spacing w:before="280"/>
        <w:ind w:firstLine="706"/>
      </w:pPr>
      <w:r>
        <w:t>5. 2.4.1.2.i. investīcijas atbalsta sniedzēja jeb komercdarbības atbalsta sniedzējinstitūcijas funkcijas veic Centrālā finanšu un līgumu aģentūra (turpmāk - atbalsta sniedzējs).</w:t>
      </w:r>
    </w:p>
    <w:p w:rsidR="000E6C2B" w:rsidRDefault="00000000">
      <w:pPr>
        <w:pStyle w:val="paragraphheader"/>
        <w:contextualSpacing w:val="0"/>
        <w:jc w:val="center"/>
        <w:rPr>
          <w:b/>
        </w:rPr>
      </w:pPr>
      <w:r>
        <w:rPr>
          <w:b/>
        </w:rPr>
        <w:t>II.</w:t>
      </w:r>
      <w:r>
        <w:t xml:space="preserve"> </w:t>
      </w:r>
      <w:r>
        <w:rPr>
          <w:b/>
        </w:rPr>
        <w:t>2.4.1.2.i. investīcijas mērķis un rādītāji </w:t>
      </w:r>
    </w:p>
    <w:p w:rsidR="000E6C2B" w:rsidRDefault="00000000">
      <w:pPr>
        <w:numPr>
          <w:ilvl w:val="0"/>
          <w:numId w:val="2"/>
        </w:numPr>
        <w:spacing w:before="280"/>
        <w:ind w:firstLine="706"/>
      </w:pPr>
      <w:r>
        <w:t>6. 2.4.1.2.i. investīcijas mērķis ir radīt reģionālās attīstības iespējas un stimulēt pieprasījumu pēc jauniem digitālajiem pakalpojumiem.  </w:t>
      </w:r>
    </w:p>
    <w:p w:rsidR="000E6C2B" w:rsidRDefault="00000000">
      <w:pPr>
        <w:numPr>
          <w:ilvl w:val="0"/>
          <w:numId w:val="2"/>
        </w:numPr>
        <w:spacing w:before="280"/>
        <w:ind w:firstLine="706"/>
      </w:pPr>
      <w:r>
        <w:lastRenderedPageBreak/>
        <w:t>7. 2.4.1.2.i. investīcijas mērķa grupa ir mājsaimniecības, uzņēmumi, izglītības iestādes, ārstniecības iestādes un citas sabiedriskās ēkas.   </w:t>
      </w:r>
    </w:p>
    <w:p w:rsidR="000E6C2B" w:rsidRDefault="00000000">
      <w:pPr>
        <w:numPr>
          <w:ilvl w:val="0"/>
          <w:numId w:val="2"/>
        </w:numPr>
        <w:spacing w:before="280"/>
        <w:ind w:firstLine="706"/>
      </w:pPr>
      <w:r>
        <w:t>8. 2.4.1.2.i. investīcijas sasniedzami rādītāji: </w:t>
      </w:r>
    </w:p>
    <w:p w:rsidR="000E6C2B" w:rsidRDefault="00000000">
      <w:pPr>
        <w:numPr>
          <w:ilvl w:val="1"/>
          <w:numId w:val="2"/>
        </w:numPr>
        <w:ind w:firstLine="706"/>
      </w:pPr>
      <w:r>
        <w:t>8.1. līdz 2024. gada 31. decembrim 500 tādu mājsaimniecību, uzņēmumu, izglītības iestāžu, ārstniecības iestāžu un citu sabiedrisko ēku skaits, kam ir piekļuve platjoslas savienojumiem ar ļoti augstas veiktspējas tīklu (turpmāk - uzraudzības rādītājs);</w:t>
      </w:r>
    </w:p>
    <w:p w:rsidR="000E6C2B" w:rsidRDefault="00000000">
      <w:pPr>
        <w:numPr>
          <w:ilvl w:val="1"/>
          <w:numId w:val="2"/>
        </w:numPr>
        <w:ind w:firstLine="706"/>
      </w:pPr>
      <w:r>
        <w:t>8.2. līdz 2025. gada 31. decembrim 1500 mājsaimniecību, uzņēmumu, izglītības iestāžu, ārstniecību iestāžu un citu sabiedrisko ēku skaits, kam ir piekļuve platjoslas savienojumiem ar ļoti augstas veiktspējas tīklu (turpmāk - mērķrādītājs).</w:t>
      </w:r>
    </w:p>
    <w:p w:rsidR="000E6C2B" w:rsidRDefault="00000000">
      <w:pPr>
        <w:numPr>
          <w:ilvl w:val="0"/>
          <w:numId w:val="2"/>
        </w:numPr>
        <w:spacing w:before="280"/>
        <w:ind w:firstLine="706"/>
      </w:pPr>
      <w:r>
        <w:t>9. 2.4.1.2.i. investīcijas nacionāli sasniedzami rādītāji: </w:t>
      </w:r>
    </w:p>
    <w:p w:rsidR="000E6C2B" w:rsidRDefault="00000000">
      <w:pPr>
        <w:numPr>
          <w:ilvl w:val="1"/>
          <w:numId w:val="2"/>
        </w:numPr>
        <w:ind w:firstLine="706"/>
      </w:pPr>
      <w:r>
        <w:t>9.1. līdz 2024. gada 31. decembrim mājsaimniecību, uzņēmumu, izglītības iestāžu, ārstniecības iestāžu un citu sabiedrisko ēku skaits, kam ir piekļuve platjoslas savienojumiem ar ļoti augstas veiktspējas tīklu 100 Latgales plānošanas reģionā, 100 Vidzemes plānošanas reģionā, 100 Rīgas plānošanas reģionā, 100 Zemgales plānošanas reģionā, 100 Kurzemes plānošanas reģionā; </w:t>
      </w:r>
    </w:p>
    <w:p w:rsidR="000E6C2B" w:rsidRDefault="00000000">
      <w:pPr>
        <w:numPr>
          <w:ilvl w:val="1"/>
          <w:numId w:val="2"/>
        </w:numPr>
        <w:ind w:firstLine="706"/>
      </w:pPr>
      <w:r>
        <w:t>9.2. līdz 2025. gada 31. decembrim mājsaimniecību, uzņēmumu, izglītības iestāžu, ārstniecību iestāžu un citu sabiedrisko ēku skaits, kam ir piekļuve platjoslas savienojumiem ar ļoti augstas veiktspējas tīklu, 300 Latgales plānošanas reģionā, 300 Vidzemes plānošanas reģionā, 300 Rīgas plānošanas reģionā, 300 Zemgales plānošanas reģionā, 300 Kurzemes plānošanas reģionā. </w:t>
      </w:r>
    </w:p>
    <w:p w:rsidR="000E6C2B" w:rsidRDefault="00000000">
      <w:pPr>
        <w:numPr>
          <w:ilvl w:val="0"/>
          <w:numId w:val="2"/>
        </w:numPr>
        <w:spacing w:before="280"/>
        <w:ind w:firstLine="706"/>
      </w:pPr>
      <w:r>
        <w:t>10. Atbalsta sniedzējs sadarbībā ar nozares ministriju šo noteikumu 8.1. un 8.2. apakšpunktā noteikto uzraudzības rādītāja un mērķrādītāja sasniegšanu pamato ar dokumentu, kurā aprakstīts, kā tika atbilstīgi izpildīts mērķa rādītājs (tostarp visi elementi), iekļaujot šādus dokumentārus pierādījumus: ziņojumus, kurus iesniedzis finansējuma saņēmējs, tai skaitā, iekļaujot dokumentārus pierādījumus, ka galapatērētājiem attiecīgajos objektos ir iespēja abonēt šo noteikumu 13. punktā minēto sakaru pakalpojumu ne vēlāk kā mēneša laikā pēc tam, kad patērētājs paziņojis par šādu izvēli, un apstiprinājis atbalsta sniedzējs un kuros norādīts mērķa rādītāja aprakstā noteiktais saņēmēju skaits; investīciju kartējumu, kurā norādīta to dzīvojamo ēku, uzņēmumu, izglītības iestāžu un citu sabiedrisku ēku atrašanās vieta, kam ir nodrošināta platjoslas piekļuve ļoti augstas veiktspējas tīklam.</w:t>
      </w:r>
    </w:p>
    <w:p w:rsidR="000E6C2B" w:rsidRDefault="00000000">
      <w:pPr>
        <w:pStyle w:val="paragraphheader"/>
        <w:contextualSpacing w:val="0"/>
        <w:jc w:val="center"/>
        <w:rPr>
          <w:b/>
        </w:rPr>
      </w:pPr>
      <w:r>
        <w:rPr>
          <w:b/>
        </w:rPr>
        <w:t>III.</w:t>
      </w:r>
      <w:r>
        <w:t xml:space="preserve"> </w:t>
      </w:r>
      <w:r>
        <w:rPr>
          <w:b/>
        </w:rPr>
        <w:t>Pieejamais finansējums un maksājumu veikšanas kārtība </w:t>
      </w:r>
    </w:p>
    <w:p w:rsidR="000E6C2B" w:rsidRDefault="00000000">
      <w:pPr>
        <w:numPr>
          <w:ilvl w:val="0"/>
          <w:numId w:val="3"/>
        </w:numPr>
        <w:spacing w:before="280"/>
        <w:ind w:firstLine="706"/>
      </w:pPr>
      <w:r>
        <w:t>11. 2.4.1.2.i. investīcijai pieejamais Atveseļošanas fonda finansējums ir 4 000 000 euro, tai skaitā, 800 000 euro Latgales plānošanas reģionā, 800 000 euro Vidzemes plānošanas reģionā, 800 000 euro Rīgas plānošanas reģionā, 800 000 euro Zemgales plānošanas reģionā, 800 000 euro Kurzemes plānošanas reģionā. </w:t>
      </w:r>
    </w:p>
    <w:p w:rsidR="000E6C2B" w:rsidRDefault="00000000">
      <w:pPr>
        <w:numPr>
          <w:ilvl w:val="0"/>
          <w:numId w:val="3"/>
        </w:numPr>
        <w:spacing w:before="280"/>
        <w:ind w:firstLine="706"/>
      </w:pPr>
      <w:r>
        <w:lastRenderedPageBreak/>
        <w:t>12. 2.4.1.2.i. investīcijas projekta īstenošanas laikā finansējuma saņēmējs var saņemt: </w:t>
      </w:r>
    </w:p>
    <w:p w:rsidR="000E6C2B" w:rsidRDefault="00000000">
      <w:pPr>
        <w:numPr>
          <w:ilvl w:val="1"/>
          <w:numId w:val="3"/>
        </w:numPr>
        <w:ind w:firstLine="706"/>
      </w:pPr>
      <w:r>
        <w:t>12.1. starpposma maksājumus proporcionāli šo noteikumu 9.2. apakšpunktā minētā investīcijas mērķa sasniegšanai – nepārsniedzot 2667 EUR uz vienu mājsaimniecību vai uzņēmumu, izglītības iestādi, ārstniecības iestādi un citu sabiedrisko ēku (adrešu) skaitu, kam nodrošināta piekļuve ļoti augstas veiktspējas tīklam. Starpposma maksājumu kopsumma nevar pārsniegt 90% no kopējā projekta finansējuma; </w:t>
      </w:r>
    </w:p>
    <w:p w:rsidR="000E6C2B" w:rsidRDefault="00000000">
      <w:pPr>
        <w:numPr>
          <w:ilvl w:val="1"/>
          <w:numId w:val="3"/>
        </w:numPr>
        <w:ind w:firstLine="706"/>
      </w:pPr>
      <w:r>
        <w:t>12.2. noslēguma maksājumu, ievērojot, ka ir atbalstāma kumulatīvi 100% finansējuma atmaksa saskaņā ar šo noteikumu 9.2. apakšpunktā minētā investīcijas mērķa sasniegšanu. </w:t>
      </w:r>
    </w:p>
    <w:p w:rsidR="000E6C2B" w:rsidRDefault="00000000">
      <w:pPr>
        <w:pStyle w:val="paragraphheader"/>
        <w:contextualSpacing w:val="0"/>
        <w:jc w:val="center"/>
        <w:rPr>
          <w:b/>
        </w:rPr>
      </w:pPr>
      <w:r>
        <w:rPr>
          <w:b/>
        </w:rPr>
        <w:t>IV.</w:t>
      </w:r>
      <w:r>
        <w:t xml:space="preserve"> </w:t>
      </w:r>
      <w:r>
        <w:rPr>
          <w:b/>
        </w:rPr>
        <w:t>Atbalstāmās darbības, attiecināmās izmaksas un to nosacījumi</w:t>
      </w:r>
    </w:p>
    <w:p w:rsidR="000E6C2B" w:rsidRDefault="00000000">
      <w:pPr>
        <w:numPr>
          <w:ilvl w:val="0"/>
          <w:numId w:val="4"/>
        </w:numPr>
        <w:spacing w:before="280"/>
        <w:ind w:firstLine="706"/>
      </w:pPr>
      <w:r>
        <w:t>13. 2.4.1.2.i. investīcijas atbalstāmās darbības ir tehnoloģiski neitrālu pieslēgumu, kas atbalsta ilgtspējīgu nākamās paaudzes fiksēto, bezvadu vai pavadoņu sakaru savienojamību, ierīkošana elektronisko sakaru pakalpojumu pieejamības nodrošināšanai mājsaimniecībām, uzņēmumiem, izglītības iestādēm, ārstniecības iestādēm un citām sabiedriskām ēkām ar lejupielādes ātrumu vismaz 300 Mbit/s un augšupielādes ātrumu vismaz 100 Mbit/s maksimumstundas apstākļos, ko var uzlabot līdz 1 Gbit/s ātrumam pēc pieprasījuma.</w:t>
      </w:r>
    </w:p>
    <w:p w:rsidR="000E6C2B" w:rsidRDefault="00000000">
      <w:pPr>
        <w:numPr>
          <w:ilvl w:val="0"/>
          <w:numId w:val="4"/>
        </w:numPr>
        <w:spacing w:before="280"/>
        <w:ind w:firstLine="706"/>
      </w:pPr>
      <w:r>
        <w:t>14. 2.4.1.2.i. investīcijas attiecināmās izmaksas ir:</w:t>
      </w:r>
    </w:p>
    <w:p w:rsidR="000E6C2B" w:rsidRDefault="00000000">
      <w:pPr>
        <w:numPr>
          <w:ilvl w:val="1"/>
          <w:numId w:val="4"/>
        </w:numPr>
        <w:ind w:firstLine="706"/>
      </w:pPr>
      <w:r>
        <w:t>14.1. ļoti augstas veiktspējas tīkla pasīvās infrastruktūras elementu, piemēram, kabeļu kanalizācijas cauruļu, kanālu, stabu, mastu, tumšās optiskās šķiedras kabeļu, sadales skapju un lūku u.c, būvniecības izmaksas;</w:t>
      </w:r>
    </w:p>
    <w:p w:rsidR="000E6C2B" w:rsidRDefault="00000000">
      <w:pPr>
        <w:numPr>
          <w:ilvl w:val="1"/>
          <w:numId w:val="4"/>
        </w:numPr>
        <w:ind w:firstLine="706"/>
      </w:pPr>
      <w:r>
        <w:t>14.2. ļoti augstas veiktspējas tīkla aktīvās infrastruktūras aprīkojuma izmaksas - aktīvie komponenti, piemēram, transponderi, maršrutētāji un komutatori, radio bāzes stacijas, vadības un pārvaldības serveri;</w:t>
      </w:r>
    </w:p>
    <w:p w:rsidR="000E6C2B" w:rsidRDefault="00000000">
      <w:pPr>
        <w:numPr>
          <w:ilvl w:val="1"/>
          <w:numId w:val="4"/>
        </w:numPr>
        <w:ind w:firstLine="706"/>
      </w:pPr>
      <w:r>
        <w:t>14.3. ļoti augstas veiktspējas tīkla projektēšanas izmaksas;</w:t>
      </w:r>
    </w:p>
    <w:p w:rsidR="000E6C2B" w:rsidRDefault="00000000">
      <w:pPr>
        <w:numPr>
          <w:ilvl w:val="1"/>
          <w:numId w:val="4"/>
        </w:numPr>
        <w:ind w:firstLine="706"/>
      </w:pPr>
      <w:r>
        <w:t>14.4. ļoti augstas veiktspējas tīkla autoruzraudzības izmaksas;</w:t>
      </w:r>
    </w:p>
    <w:p w:rsidR="000E6C2B" w:rsidRDefault="00000000">
      <w:pPr>
        <w:numPr>
          <w:ilvl w:val="1"/>
          <w:numId w:val="4"/>
        </w:numPr>
        <w:ind w:firstLine="706"/>
      </w:pPr>
      <w:r>
        <w:t>14.5. ļoti augstas veiktspējas tīkla ekspertīžu un izpētes izmaksas;</w:t>
      </w:r>
    </w:p>
    <w:p w:rsidR="000E6C2B" w:rsidRDefault="00000000">
      <w:pPr>
        <w:numPr>
          <w:ilvl w:val="1"/>
          <w:numId w:val="4"/>
        </w:numPr>
        <w:ind w:firstLine="706"/>
      </w:pPr>
      <w:r>
        <w:t>14.6. elektroapgādes sadales sistēmas operatora pieslēguma izveides izmaksas ļoti augstas veiktspējas tīklam;</w:t>
      </w:r>
    </w:p>
    <w:p w:rsidR="000E6C2B" w:rsidRDefault="00000000">
      <w:pPr>
        <w:numPr>
          <w:ilvl w:val="1"/>
          <w:numId w:val="4"/>
        </w:numPr>
        <w:ind w:firstLine="706"/>
      </w:pPr>
      <w:r>
        <w:t>14.7. ļoti augstas veiktspējas tīkla būvdarbu uzraudzības izmaksas;</w:t>
      </w:r>
    </w:p>
    <w:p w:rsidR="000E6C2B" w:rsidRDefault="00000000">
      <w:pPr>
        <w:numPr>
          <w:ilvl w:val="1"/>
          <w:numId w:val="4"/>
        </w:numPr>
        <w:ind w:firstLine="706"/>
      </w:pPr>
      <w:r>
        <w:t>14.8. ļoti augstas veiktspējas tīkla testēšanas izmaksas, tostarp testēšanas dokumentācijas izstrādes izmaksas;</w:t>
      </w:r>
    </w:p>
    <w:p w:rsidR="000E6C2B" w:rsidRDefault="00000000">
      <w:pPr>
        <w:numPr>
          <w:ilvl w:val="1"/>
          <w:numId w:val="4"/>
        </w:numPr>
        <w:ind w:firstLine="706"/>
      </w:pPr>
      <w:r>
        <w:t>14.9. ļoti augstas veiktspējas tīkla darbības un piekļuves kontroles iekārtu iegādes un uzstādīšanas izmaksas;</w:t>
      </w:r>
    </w:p>
    <w:p w:rsidR="000E6C2B" w:rsidRDefault="00000000">
      <w:pPr>
        <w:numPr>
          <w:ilvl w:val="1"/>
          <w:numId w:val="4"/>
        </w:numPr>
        <w:ind w:firstLine="706"/>
      </w:pPr>
      <w:r>
        <w:t>14.10. ļoti augstas veiktspējas tīkla būvniecībai nepieciešamo zemes gabalu iegāde un ar to saistītās izmaksas;</w:t>
      </w:r>
    </w:p>
    <w:p w:rsidR="000E6C2B" w:rsidRDefault="00000000">
      <w:pPr>
        <w:numPr>
          <w:ilvl w:val="1"/>
          <w:numId w:val="4"/>
        </w:numPr>
        <w:ind w:firstLine="706"/>
      </w:pPr>
      <w:r>
        <w:t xml:space="preserve">14.11. ar projekta darbībām tieši saistīto publicitātes un vizuālās identitātes pasākumu izmaksas, kas veiktas saskaņā ar Eiropas Parlamenta un Padomes 2021. gada 12. februāra regulas Nr. 2021/241, ar ko izveido Atveseļošanas un noturības </w:t>
      </w:r>
      <w:r>
        <w:lastRenderedPageBreak/>
        <w:t>mehānismu  34. pantu un Eiropas Komisijas un Latvijas Republikas Atveseļošanas un noturības mehānisma finansēšanas nolīguma 10.pantu.</w:t>
      </w:r>
    </w:p>
    <w:p w:rsidR="000E6C2B" w:rsidRDefault="00000000">
      <w:pPr>
        <w:numPr>
          <w:ilvl w:val="1"/>
          <w:numId w:val="4"/>
        </w:numPr>
        <w:ind w:firstLine="0"/>
      </w:pPr>
      <w:r>
        <w:t> </w:t>
      </w:r>
    </w:p>
    <w:p w:rsidR="000E6C2B" w:rsidRDefault="00000000">
      <w:pPr>
        <w:numPr>
          <w:ilvl w:val="0"/>
          <w:numId w:val="4"/>
        </w:numPr>
        <w:spacing w:before="280"/>
        <w:ind w:firstLine="706"/>
      </w:pPr>
      <w:r>
        <w:t>15. Projekta iesniedzējs iesniedz projekta iesniegumu par katru plānošanas reģiona teritoriju atsevišķi, ievērojot šo noteikumu 11. punktā noteikto finansējuma sadalījumu un nosakot ne mazāku rādītāju kā šo noteikumu 9.1. un 9.2. apakšpunktos.</w:t>
      </w:r>
    </w:p>
    <w:p w:rsidR="000E6C2B" w:rsidRDefault="00000000">
      <w:pPr>
        <w:numPr>
          <w:ilvl w:val="0"/>
          <w:numId w:val="4"/>
        </w:numPr>
        <w:spacing w:before="280"/>
        <w:ind w:firstLine="706"/>
      </w:pPr>
      <w:r>
        <w:t>16. Projekta iesniedzējam ir tiesības iesniegt vienu vai vairākus projektu iesniegumus. </w:t>
      </w:r>
    </w:p>
    <w:p w:rsidR="000E6C2B" w:rsidRDefault="00000000">
      <w:pPr>
        <w:numPr>
          <w:ilvl w:val="0"/>
          <w:numId w:val="4"/>
        </w:numPr>
        <w:spacing w:before="280"/>
        <w:ind w:firstLine="706"/>
      </w:pPr>
      <w:r>
        <w:t>17. Pievienotās vērtības nodokļa (turpmāk – PVN) izmaksas, kuras finansējuma saņēmējs norāda projekta iesniegumā un veic projekta ietvaros, nav attiecināmas finansēšanai no Atveseļošanās fonda finansējuma. Finansējuma saņēmējs PVN izmaksas sedz no saviem līdzekļiem.</w:t>
      </w:r>
    </w:p>
    <w:p w:rsidR="000E6C2B" w:rsidRDefault="00000000">
      <w:pPr>
        <w:pStyle w:val="paragraphheader"/>
        <w:contextualSpacing w:val="0"/>
        <w:jc w:val="center"/>
        <w:rPr>
          <w:b/>
        </w:rPr>
      </w:pPr>
      <w:r>
        <w:rPr>
          <w:b/>
        </w:rPr>
        <w:t>V.</w:t>
      </w:r>
      <w:r>
        <w:t xml:space="preserve"> </w:t>
      </w:r>
      <w:r>
        <w:rPr>
          <w:b/>
        </w:rPr>
        <w:t>2.4.1.2.i. investīcijas ieviešanā iesaistīto institūciju atbildības sadalījums</w:t>
      </w:r>
    </w:p>
    <w:p w:rsidR="000E6C2B" w:rsidRDefault="00000000">
      <w:pPr>
        <w:numPr>
          <w:ilvl w:val="0"/>
          <w:numId w:val="5"/>
        </w:numPr>
        <w:spacing w:before="280"/>
        <w:ind w:firstLine="706"/>
      </w:pPr>
      <w:r>
        <w:t>18. Nozares ministrija nodrošina:</w:t>
      </w:r>
    </w:p>
    <w:p w:rsidR="000E6C2B" w:rsidRDefault="00000000">
      <w:pPr>
        <w:numPr>
          <w:ilvl w:val="1"/>
          <w:numId w:val="5"/>
        </w:numPr>
        <w:ind w:firstLine="706"/>
      </w:pPr>
      <w:r>
        <w:t>18.1. informāciju par Eiropas Komisijas 2014. gada 17. jūnijs regulas Nr. 651/2014, ar ko noteiktas atbalsta kategorijas atzīst par saderīgām ar iekšējo tirgu, piemērojot Līguma 107. un 108. pantu, (turpmāk - regula Nr. 651/2014) 52. panta ietvaros izsniegto atbalstu publicē atbilstoši regulas Nr. 651/2014, 9. panta 1. un 4. punktā noteiktajām publicitātes pasākumu prasībām saskaņā ar normatīvajiem aktiem par kārtību, kādā publicē informāciju par sniegto valsts atbalstu un piešķir un anulē elektroniskās sistēmas lietošanas tiesības. </w:t>
      </w:r>
    </w:p>
    <w:p w:rsidR="000E6C2B" w:rsidRDefault="00000000">
      <w:pPr>
        <w:numPr>
          <w:ilvl w:val="1"/>
          <w:numId w:val="5"/>
        </w:numPr>
        <w:ind w:firstLine="706"/>
      </w:pPr>
      <w:r>
        <w:t>18.2. iekšējās kontroles sistēmas īstenošanu, uzraudzību, pilnveidi un datu ticamības, izsekojamības, pamatotības un piekļuves nodrošināšanu, tostarp komercdarbības atbalsta nosacījumu ievērošanas nodrošināšanu, uzraudzību un risku pārvaldību atbilstoši iekšējiem noteikumiem. </w:t>
      </w:r>
    </w:p>
    <w:p w:rsidR="000E6C2B" w:rsidRDefault="00000000">
      <w:pPr>
        <w:numPr>
          <w:ilvl w:val="1"/>
          <w:numId w:val="5"/>
        </w:numPr>
        <w:ind w:firstLine="706"/>
      </w:pPr>
      <w:r>
        <w:t>18.3. Kohēzijas politikas fondu vadības informācijas sistēmā (turpmāk - vadības informācijas sistēma) ievada informāciju atbilstoši Ministru kabineta 2021. gada 7. septembra noteikumu Nr. 621 ''Eiropas Savienības Atveseļošanas un noturības mehānisma plāna īstenošanas un uzraudzības kārtība'' 17. punktam. </w:t>
      </w:r>
    </w:p>
    <w:p w:rsidR="000E6C2B" w:rsidRDefault="00000000">
      <w:pPr>
        <w:numPr>
          <w:ilvl w:val="1"/>
          <w:numId w:val="5"/>
        </w:numPr>
        <w:ind w:firstLine="706"/>
      </w:pPr>
      <w:r>
        <w:t>18.4. nodrošina projektu iesniegumu atlasi atbilstoši šo noteikumu VII nodaļā noteiktajam, tai skaitā šo noteikumu 1. pielikumam "1. Projektu iesniegumu vērtēšanas kritēriji un to piemērošanas skaidrojumi".</w:t>
      </w:r>
    </w:p>
    <w:p w:rsidR="000E6C2B" w:rsidRDefault="00000000">
      <w:pPr>
        <w:numPr>
          <w:ilvl w:val="1"/>
          <w:numId w:val="5"/>
        </w:numPr>
        <w:ind w:firstLine="706"/>
      </w:pPr>
      <w:r>
        <w:t>18.5. uz risku novērtējumu balstītu vismaz vienu iekšējo auditu līdz 2026. gada 31. martam, pārbaudot, vai 2.4.1.2.i investīcijas īstenošanā nav konstatējamas pazīmes, kas liecina par pieļautu vai iespējamu interešu konflikta, korupcijas, krāpšanas vai dubultā finansējuma situāciju, kā arī atskaites punktu, uzraudzības rādītāju un mērķrādītāju (tai skaitā datu) ticamību ar mērķi veikt 2.4.1.2.i. investīcijas iekšējās kontroles sistēmas īstenošanas novērtējumu.</w:t>
      </w:r>
    </w:p>
    <w:p w:rsidR="000E6C2B" w:rsidRDefault="00000000">
      <w:pPr>
        <w:numPr>
          <w:ilvl w:val="1"/>
          <w:numId w:val="5"/>
        </w:numPr>
        <w:ind w:firstLine="706"/>
      </w:pPr>
      <w:r>
        <w:lastRenderedPageBreak/>
        <w:t>18.6. informācijas iesniegšanu reizi gadā ziņojumam, kas paredzēts regulas Nr. 651/2014 11. pantā.</w:t>
      </w:r>
    </w:p>
    <w:p w:rsidR="000E6C2B" w:rsidRDefault="00000000">
      <w:pPr>
        <w:numPr>
          <w:ilvl w:val="1"/>
          <w:numId w:val="5"/>
        </w:numPr>
        <w:ind w:firstLine="706"/>
      </w:pPr>
      <w:r>
        <w:t>18.7. ka šo noteikumu 18. punktā minēto informāciju par 2.4.1.2.i. investīcijas atbalsta instrumentu glabā 10 gadus no atbalsta piešķiršanas dienas un pēc pieprasījuma iesniedz Eiropas Komisijai informāciju, kas vajadzīga, lai pārliecinātos par 2.4.1.2.i. investīcijas atbalsta instrumenta saderību ar Eiropas Savienības iekšējo tirgu.</w:t>
      </w:r>
    </w:p>
    <w:p w:rsidR="000E6C2B" w:rsidRDefault="00000000">
      <w:pPr>
        <w:numPr>
          <w:ilvl w:val="0"/>
          <w:numId w:val="5"/>
        </w:numPr>
        <w:spacing w:before="280"/>
        <w:ind w:firstLine="706"/>
      </w:pPr>
      <w:r>
        <w:t>19. Atbalsta sniedzējs: </w:t>
      </w:r>
    </w:p>
    <w:p w:rsidR="000E6C2B" w:rsidRDefault="00000000">
      <w:pPr>
        <w:numPr>
          <w:ilvl w:val="1"/>
          <w:numId w:val="5"/>
        </w:numPr>
        <w:ind w:firstLine="706"/>
      </w:pPr>
      <w:r>
        <w:t>19.1. slēdz līgumu ar finansējuma saņēmēju par 2.4.1.2.i. investīcijas projekta īstenošanu (turpmāk - līgums par projekta īstenošanu), tajā paredzot noteikumus par 2.4.1.2.i. investīcijas mērķu un rādītāju sasniegšanu un šo noteikumu 11. punktā minētā finansējuma ieguldīšanas, izlietošanas un uzraudzības kārtību. </w:t>
      </w:r>
    </w:p>
    <w:p w:rsidR="000E6C2B" w:rsidRDefault="00000000">
      <w:pPr>
        <w:numPr>
          <w:ilvl w:val="1"/>
          <w:numId w:val="5"/>
        </w:numPr>
        <w:ind w:firstLine="706"/>
      </w:pPr>
      <w:r>
        <w:t>19.2. piemēro korektīvās darbības finansējuma saņēmējam, ja tiek pārkāpti projekta īstenošanas līguma nosacījumi vai šo noteikumu prasības.</w:t>
      </w:r>
    </w:p>
    <w:p w:rsidR="000E6C2B" w:rsidRDefault="00000000">
      <w:pPr>
        <w:numPr>
          <w:ilvl w:val="1"/>
          <w:numId w:val="5"/>
        </w:numPr>
        <w:ind w:firstLine="706"/>
      </w:pPr>
      <w:r>
        <w:t>19.3. pieprasa projekta īstenošanai nepieciešamo finansējumu no budžeta programmas normatīvajos aktos par budžetu un finanšu vadību noteiktajā kārtībā.</w:t>
      </w:r>
    </w:p>
    <w:p w:rsidR="000E6C2B" w:rsidRDefault="00000000">
      <w:pPr>
        <w:numPr>
          <w:ilvl w:val="1"/>
          <w:numId w:val="5"/>
        </w:numPr>
        <w:ind w:firstLine="706"/>
      </w:pPr>
      <w:r>
        <w:t>19.4. veic maksājumu pieprasījumu un projektu progresa pārskatu izskatīšanu un saskaņošanu.</w:t>
      </w:r>
    </w:p>
    <w:p w:rsidR="000E6C2B" w:rsidRDefault="00000000">
      <w:pPr>
        <w:numPr>
          <w:ilvl w:val="1"/>
          <w:numId w:val="5"/>
        </w:numPr>
        <w:ind w:firstLine="706"/>
      </w:pPr>
      <w:r>
        <w:t>19.5. veic projekta noslēguma dokumentācijas pārbaudi un noslēguma maksājumu līdz 2026. gada 31. augustam. </w:t>
      </w:r>
    </w:p>
    <w:p w:rsidR="000E6C2B" w:rsidRDefault="00000000">
      <w:pPr>
        <w:numPr>
          <w:ilvl w:val="1"/>
          <w:numId w:val="5"/>
        </w:numPr>
        <w:ind w:firstLine="706"/>
      </w:pPr>
      <w:r>
        <w:t>19.6. reizi gadā un pēc pieprasījuma iesniedz nozares ministrijai informāciju ziņojumam, kas paredzēts regulas Nr. 651/2014 11. pantā.  </w:t>
      </w:r>
    </w:p>
    <w:p w:rsidR="000E6C2B" w:rsidRDefault="00000000">
      <w:pPr>
        <w:numPr>
          <w:ilvl w:val="1"/>
          <w:numId w:val="5"/>
        </w:numPr>
        <w:ind w:firstLine="706"/>
      </w:pPr>
      <w:r>
        <w:t>19.7. var vienpusēji atkāpties no līguma par projekta īstenošanu, ja: </w:t>
      </w:r>
    </w:p>
    <w:p w:rsidR="000E6C2B" w:rsidRDefault="00000000">
      <w:pPr>
        <w:numPr>
          <w:ilvl w:val="2"/>
          <w:numId w:val="5"/>
        </w:numPr>
        <w:ind w:firstLine="706"/>
      </w:pPr>
      <w:r>
        <w:t>19.7.1. finansējuma saņēmējs nepilda līgumu par projekta īstenošanu, tai skaitā netiek ievēroti projektā noteiktie termiņi vai ir iestājušies citi apstākļi, kas negatīvi ietekmē vai var ietekmēt investīcijas vai noteikto rādītāju sasniegšanu; </w:t>
      </w:r>
    </w:p>
    <w:p w:rsidR="000E6C2B" w:rsidRDefault="00000000">
      <w:pPr>
        <w:numPr>
          <w:ilvl w:val="2"/>
          <w:numId w:val="5"/>
        </w:numPr>
        <w:ind w:firstLine="706"/>
      </w:pPr>
      <w:r>
        <w:t>19.7.2. finansējuma saņēmējs projekta īstenošanas laikā apzināti ir sniedzis nepatiesu informāciju; </w:t>
      </w:r>
    </w:p>
    <w:p w:rsidR="000E6C2B" w:rsidRDefault="00000000">
      <w:pPr>
        <w:numPr>
          <w:ilvl w:val="2"/>
          <w:numId w:val="5"/>
        </w:numPr>
        <w:ind w:firstLine="706"/>
      </w:pPr>
      <w:r>
        <w:t>19.7.3. citos gadījumos, ko paredz līgums par projekta īstenošanu.  </w:t>
      </w:r>
    </w:p>
    <w:p w:rsidR="000E6C2B" w:rsidRDefault="00000000">
      <w:pPr>
        <w:numPr>
          <w:ilvl w:val="1"/>
          <w:numId w:val="5"/>
        </w:numPr>
        <w:ind w:firstLine="706"/>
      </w:pPr>
      <w:r>
        <w:t>19.8. nodrošina piešķirtā komercdarbības atbalsta nosacījumu ievērošanu projektu īstenošanā un uzraudzībā, izlases veidā pārbauda, vai 2.4.1.2.i investīcijas īstenošanā nav konstatējamas pazīmes, kas liecina par pieļautu vai iespējamu interešu konflikta, korupcijas, krāpšanas vai dubultā finansējuma situāciju, kā arī atskaites punktu, uzraudzības rādītāju un mērķrādītāju (tai skaitā datu) ticamību, kā arī nodrošina pārbaudes projektu īstenošanas vietās, pārbaudāmo projektu izlasi veidojot atbilstoši atbalsta sniedzēja iekšējā procedūrā noteiktajam.</w:t>
      </w:r>
    </w:p>
    <w:p w:rsidR="000E6C2B" w:rsidRDefault="00000000">
      <w:pPr>
        <w:numPr>
          <w:ilvl w:val="1"/>
          <w:numId w:val="5"/>
        </w:numPr>
        <w:ind w:firstLine="706"/>
      </w:pPr>
      <w:r>
        <w:t>19.9. nodrošina, ka šo noteikumu 19. punktā minēto informāciju par 2.4.1.2.i. investīcijas atbalsta instrumenta piešķiršanu, īstenošanu un uzraudzību glabā 10 gadus no atbalsta piešķiršanas dienas un pēc pieprasījuma iesniedz nozares ministrijai.</w:t>
      </w:r>
    </w:p>
    <w:p w:rsidR="000E6C2B" w:rsidRDefault="00000000">
      <w:pPr>
        <w:pStyle w:val="paragraphheader"/>
        <w:contextualSpacing w:val="0"/>
        <w:jc w:val="center"/>
        <w:rPr>
          <w:b/>
        </w:rPr>
      </w:pPr>
      <w:r>
        <w:rPr>
          <w:b/>
        </w:rPr>
        <w:t>VI.</w:t>
      </w:r>
      <w:r>
        <w:t xml:space="preserve"> </w:t>
      </w:r>
      <w:r>
        <w:rPr>
          <w:b/>
        </w:rPr>
        <w:t>Prasības projekta iesniedzējam</w:t>
      </w:r>
    </w:p>
    <w:p w:rsidR="000E6C2B" w:rsidRDefault="00000000">
      <w:pPr>
        <w:numPr>
          <w:ilvl w:val="0"/>
          <w:numId w:val="6"/>
        </w:numPr>
        <w:spacing w:before="280"/>
        <w:ind w:firstLine="706"/>
      </w:pPr>
      <w:r>
        <w:lastRenderedPageBreak/>
        <w:t>20. Projekta iesniedzējs, kas pēc projekta iesnieguma apstiprināšanas un līguma par projekta īstenošanu noslēgšanas ir finansējuma saņēmējs, ir elektronisko sakaru komersants:</w:t>
      </w:r>
    </w:p>
    <w:p w:rsidR="000E6C2B" w:rsidRDefault="00000000">
      <w:pPr>
        <w:numPr>
          <w:ilvl w:val="1"/>
          <w:numId w:val="6"/>
        </w:numPr>
        <w:ind w:firstLine="706"/>
      </w:pPr>
      <w:r>
        <w:t>20.1. kuram ir tiesības sniegt elektronisko sakaru pakalpojumus un nodrošināt elektronisko sakaru tīklu Latvijā;</w:t>
      </w:r>
    </w:p>
    <w:p w:rsidR="000E6C2B" w:rsidRDefault="00000000">
      <w:pPr>
        <w:numPr>
          <w:ilvl w:val="1"/>
          <w:numId w:val="6"/>
        </w:numPr>
        <w:ind w:firstLine="706"/>
      </w:pPr>
      <w:r>
        <w:t>20.2. kurš iepriekšējo 3 (trīs) gadu laikā un kārtējā gadā līdz projekta iesniegšanas termiņa beigām ir nodrošinājis elektronisko sakaru tīkla izveidi vismaz 300 objektos (adresēs).</w:t>
      </w:r>
    </w:p>
    <w:p w:rsidR="000E6C2B" w:rsidRDefault="00000000">
      <w:pPr>
        <w:numPr>
          <w:ilvl w:val="0"/>
          <w:numId w:val="6"/>
        </w:numPr>
        <w:spacing w:before="280"/>
        <w:ind w:firstLine="706"/>
      </w:pPr>
      <w:r>
        <w:t>21. Projekta iesniedzējs aizpilda projekta iesnieguma veidlapu vadības informācijas sistēmā, ievērojot projektu atlases nolikuma prasības un pievienojot projekta iesniegumu veidlapai: </w:t>
      </w:r>
    </w:p>
    <w:p w:rsidR="000E6C2B" w:rsidRDefault="00000000">
      <w:pPr>
        <w:numPr>
          <w:ilvl w:val="1"/>
          <w:numId w:val="6"/>
        </w:numPr>
        <w:ind w:firstLine="706"/>
      </w:pPr>
      <w:r>
        <w:t>21.1. projekta iesniedzēja un projekta partnera (ja attiecināms) apliecinājumu, ka tas neatbilst Latvijas Republikas normatīvajos aktos noteiktajiem kritērijiem, lai tam pēc kreditoru pieprasījuma piemērotu maksātnespējas procedūru;</w:t>
      </w:r>
    </w:p>
    <w:p w:rsidR="000E6C2B" w:rsidRDefault="00000000">
      <w:pPr>
        <w:numPr>
          <w:ilvl w:val="1"/>
          <w:numId w:val="6"/>
        </w:numPr>
        <w:ind w:firstLine="706"/>
      </w:pPr>
      <w:r>
        <w:t>21.2. projekta iesniedzēja un projekta partnera (ja attiecināms) pieredzes aprakstu, kas sagatavots atbilstoši šo noteikumu 2. pielikumā „2. Projekta iesniedzēja pieredzes apraksts” norādītajai formai, lai apliecinātu atbilstību šo noteikumu 20.2. apakšpunktā izvirzītajai prasībai;</w:t>
      </w:r>
    </w:p>
    <w:p w:rsidR="000E6C2B" w:rsidRDefault="00000000">
      <w:pPr>
        <w:numPr>
          <w:ilvl w:val="1"/>
          <w:numId w:val="6"/>
        </w:numPr>
        <w:ind w:firstLine="706"/>
      </w:pPr>
      <w:r>
        <w:t>21.3. finansējuma pieejamību apliecinoši dokumenti un informācija, kas pamato komersanta spēju veikt projekta investīcijas, sasniegt mērķus un uzturēt rezultātus: </w:t>
      </w:r>
    </w:p>
    <w:p w:rsidR="000E6C2B" w:rsidRDefault="00000000">
      <w:pPr>
        <w:numPr>
          <w:ilvl w:val="2"/>
          <w:numId w:val="6"/>
        </w:numPr>
        <w:ind w:firstLine="706"/>
      </w:pPr>
      <w:r>
        <w:t>21.3.1. par pašreizējo finanšu situāciju un projekta īstenošanai nepieciešamo finanšu resursu apjoma pieejamību (potenciālie vai pieejamie finanšu līdzekļi projekta īstenošanai);</w:t>
      </w:r>
    </w:p>
    <w:p w:rsidR="000E6C2B" w:rsidRDefault="00000000">
      <w:pPr>
        <w:numPr>
          <w:ilvl w:val="2"/>
          <w:numId w:val="6"/>
        </w:numPr>
        <w:ind w:firstLine="706"/>
      </w:pPr>
      <w:r>
        <w:t>21.3.2. par projekta finansēšanas struktūru, tai skaitā, ja finansēšanas avoti nav kredītiestādes, tad detalizētu informāciju, kas ir finansējuma sniedzēji, proti, vai tie nav sankciju subjekti atbilstoši Starptautisko un Latvijas Republikas nacionālo sankciju likumam, ar negatīvu reputāciju u.tml.;</w:t>
      </w:r>
    </w:p>
    <w:p w:rsidR="000E6C2B" w:rsidRDefault="00000000">
      <w:pPr>
        <w:numPr>
          <w:ilvl w:val="2"/>
          <w:numId w:val="6"/>
        </w:numPr>
        <w:ind w:firstLine="706"/>
      </w:pPr>
      <w:r>
        <w:t>21.3.3. par finanšu avotiem, no kuriem tiks segti projekta vadības personāla izdevumi, pievienotā vērtības nodokļa izmaksas un citas izmaksas (ja attiecināms).</w:t>
      </w:r>
    </w:p>
    <w:p w:rsidR="000E6C2B" w:rsidRDefault="00000000">
      <w:pPr>
        <w:numPr>
          <w:ilvl w:val="1"/>
          <w:numId w:val="6"/>
        </w:numPr>
        <w:ind w:firstLine="706"/>
      </w:pPr>
      <w:r>
        <w:t>21.4. projekta izmaksas pamatojošos dokumentus (piemēram, tāmes, līgumi un tamlīdzīgi), lai pamatotu projekta iesniegumā iekļautās kopējās attiecināmās izmaksas un izmaksu pozīcijas.</w:t>
      </w:r>
    </w:p>
    <w:p w:rsidR="000E6C2B" w:rsidRDefault="00000000">
      <w:pPr>
        <w:numPr>
          <w:ilvl w:val="1"/>
          <w:numId w:val="6"/>
        </w:numPr>
        <w:ind w:firstLine="706"/>
      </w:pPr>
      <w:r>
        <w:t>21.5. pielikumu ar mājsaimniecību vai uzņēmumu, izglītības iestāžu, ārstniecības iestāžu un citu sabiedrisko ēku adresēm, kam tiks nodrošināta piekļuve ļoti augstas veiktspējas tīklam, Microsoft Excel formātā, iekļaujot Valsts zemes dienesta adresācijas objekta kodu ēkas līmenī.</w:t>
      </w:r>
    </w:p>
    <w:p w:rsidR="000E6C2B" w:rsidRDefault="00000000">
      <w:pPr>
        <w:numPr>
          <w:ilvl w:val="0"/>
          <w:numId w:val="6"/>
        </w:numPr>
        <w:spacing w:before="280"/>
        <w:ind w:firstLine="706"/>
      </w:pPr>
      <w:r>
        <w:t>22. Finansējuma saņēmējs nodrošina: </w:t>
      </w:r>
    </w:p>
    <w:p w:rsidR="000E6C2B" w:rsidRDefault="00000000">
      <w:pPr>
        <w:numPr>
          <w:ilvl w:val="1"/>
          <w:numId w:val="6"/>
        </w:numPr>
        <w:ind w:firstLine="706"/>
      </w:pPr>
      <w:r>
        <w:t>22.1. apstiprinātā projekta īstenošanu saskaņā ar šo noteikumu nosacījumiem un līgumu par projekta īstenošanu;</w:t>
      </w:r>
    </w:p>
    <w:p w:rsidR="000E6C2B" w:rsidRDefault="00000000">
      <w:pPr>
        <w:numPr>
          <w:ilvl w:val="1"/>
          <w:numId w:val="6"/>
        </w:numPr>
        <w:ind w:firstLine="706"/>
      </w:pPr>
      <w:r>
        <w:lastRenderedPageBreak/>
        <w:t>22.2. uzskaiti un informācijas sniegšanu vadības informācijas sistēmā par šo noteikumu 8.1. un 8.2. apakšpunktā noteikto rādītāju uzskaiti saskaņā ar līgumu par projekta īstenošanu;</w:t>
      </w:r>
    </w:p>
    <w:p w:rsidR="000E6C2B" w:rsidRDefault="00000000">
      <w:pPr>
        <w:numPr>
          <w:ilvl w:val="1"/>
          <w:numId w:val="6"/>
        </w:numPr>
        <w:ind w:firstLine="706"/>
      </w:pPr>
      <w:r>
        <w:t>22.3. reizi pusgadā vai pēc atbalsta sniedzēja pieprasījuma iesniegt informāciju par 2.4.1.2.i. investīcijas mērķu sasniegšanas progresu saskaņā ar  līgumu par projekta īstenošanu;</w:t>
      </w:r>
    </w:p>
    <w:p w:rsidR="000E6C2B" w:rsidRDefault="00000000">
      <w:pPr>
        <w:numPr>
          <w:ilvl w:val="1"/>
          <w:numId w:val="6"/>
        </w:numPr>
        <w:ind w:firstLine="706"/>
      </w:pPr>
      <w:r>
        <w:t>22.4. iepirkumu plāna, tostarp informāciju par jau noslēgtiem iepirkumu līgumiem un citiem ar projekta īstenošanu saistītiem līgumiem, un plānoto maksājumu pieprasījumu iesniegšanas grafiku ievadi un aktualizāciju vadības informācijas sistēmā nekavējoties pēc izmaiņu identificēšanas;</w:t>
      </w:r>
    </w:p>
    <w:p w:rsidR="000E6C2B" w:rsidRDefault="00000000">
      <w:pPr>
        <w:numPr>
          <w:ilvl w:val="1"/>
          <w:numId w:val="6"/>
        </w:numPr>
        <w:ind w:firstLine="706"/>
      </w:pPr>
      <w:r>
        <w:t>22.5. preču piegādātāju un pakalpojumu sniedzēju piesaisti atbilstoši normatīvajiem aktiem iepirkumu jomā, ievērojot atklātu, caurspīdīgu un vienlīdzīgu konkurenci nodrošinošu procedūru;</w:t>
      </w:r>
    </w:p>
    <w:p w:rsidR="000E6C2B" w:rsidRDefault="00000000">
      <w:pPr>
        <w:numPr>
          <w:ilvl w:val="1"/>
          <w:numId w:val="6"/>
        </w:numPr>
        <w:ind w:firstLine="706"/>
      </w:pPr>
      <w:r>
        <w:t>22.6. informācijas iesniegšanu maksājumu pieprasījumam, tai skaitā pamatojošo dokumentāciju vadības informācijas sistēmā saskaņā ar  līgumu par projekta īstenošanu;</w:t>
      </w:r>
    </w:p>
    <w:p w:rsidR="000E6C2B" w:rsidRDefault="00000000">
      <w:pPr>
        <w:numPr>
          <w:ilvl w:val="1"/>
          <w:numId w:val="6"/>
        </w:numPr>
        <w:ind w:firstLine="706"/>
      </w:pPr>
      <w:r>
        <w:t>22.7. ka darbības šo noteikumu 8.1. un 8.2. apakšpunktā noteikto mērķu sasniegšanai nav uzsāktas agrāk par dienu pirms projekta iesniegšanas atbalsta sniedzējam, izņemot tās aktivitātes, kas nav uzskatāmas par darbu sākumu atbilstoši regulas Nr. 651/2014  2.panta 23.punktā noteiktajai darbu sākuma definīcijai, un veiktas ne vēlāk kā līdz 2025. gada 31. decembrim. </w:t>
      </w:r>
    </w:p>
    <w:p w:rsidR="000E6C2B" w:rsidRDefault="00000000">
      <w:pPr>
        <w:numPr>
          <w:ilvl w:val="1"/>
          <w:numId w:val="6"/>
        </w:numPr>
        <w:ind w:firstLine="706"/>
      </w:pPr>
      <w:r>
        <w:t>22.8. ka projekta īstenošanas laikā iegūst īpašuma, lietojuma vai apbūves tiesības uz nekustamo īpašumu, kurā plānots veikt ieguldījumus. Tās nostiprina valsts vienotajā datorizētajā Zemesgrāmatā, izņemot, ja nacionālais normatīvais regulējums nosaka citu kārtību.</w:t>
      </w:r>
    </w:p>
    <w:p w:rsidR="000E6C2B" w:rsidRDefault="00000000">
      <w:pPr>
        <w:numPr>
          <w:ilvl w:val="1"/>
          <w:numId w:val="6"/>
        </w:numPr>
        <w:ind w:firstLine="706"/>
      </w:pPr>
      <w:r>
        <w:t>22.9. informācijas sniegšanu pārbaužu veikšanai pēc pieprasījuma atbalsta sniedzējam, institūcijām, kas nodrošina Atveseļošanās fonda plāna īstenošanu un uzraudzību, kā arī Eiropas Komisijas un Latvijas Republikas Atveseļošanas un noturības mehānisma finansēšanas nolīgumā minētajām iestādēm;</w:t>
      </w:r>
    </w:p>
    <w:p w:rsidR="000E6C2B" w:rsidRDefault="00000000">
      <w:pPr>
        <w:numPr>
          <w:ilvl w:val="1"/>
          <w:numId w:val="6"/>
        </w:numPr>
        <w:ind w:firstLine="706"/>
      </w:pPr>
      <w:r>
        <w:t>22.10. ka projektā plānotie darbi netiek finansēti, kā arī tos nav plānots finansēt no citiem valsts, pašvaldības un ārvalstu finanšu atbalsta instrumentiem;</w:t>
      </w:r>
    </w:p>
    <w:p w:rsidR="000E6C2B" w:rsidRDefault="00000000">
      <w:pPr>
        <w:numPr>
          <w:ilvl w:val="1"/>
          <w:numId w:val="6"/>
        </w:numPr>
        <w:ind w:firstLine="706"/>
      </w:pPr>
      <w:r>
        <w:t>22.11. projekta īstenošanu termiņā, kas noteikts līgumā par projekta īstenošanu, bet ne vēlāk kā līdz 2025. gada 31. decembrim;</w:t>
      </w:r>
    </w:p>
    <w:p w:rsidR="000E6C2B" w:rsidRDefault="00000000">
      <w:pPr>
        <w:numPr>
          <w:ilvl w:val="1"/>
          <w:numId w:val="6"/>
        </w:numPr>
        <w:ind w:firstLine="706"/>
      </w:pPr>
      <w:r>
        <w:t>22.12. projekta noslēguma dokumentācijas iesniegšanu atbalsta sniedzējam līdz 2026. gada 31. janvārim;</w:t>
      </w:r>
    </w:p>
    <w:p w:rsidR="000E6C2B" w:rsidRDefault="00000000">
      <w:pPr>
        <w:numPr>
          <w:ilvl w:val="1"/>
          <w:numId w:val="6"/>
        </w:numPr>
        <w:ind w:firstLine="706"/>
      </w:pPr>
      <w:r>
        <w:t>22.13. interešu konflikta, korupcijas, krāpšanas novēršanas un dubultā finansējuma riska novēršanas nosacījumu ievērošanu un sasniegto atskaites punktu un mērķu pamatojošās dokumentāciju, t.sk. datu ticamības pārbaudi visā projekta laikā, nodrošinot vismaz šādus pasākumus: </w:t>
      </w:r>
    </w:p>
    <w:p w:rsidR="000E6C2B" w:rsidRDefault="00000000">
      <w:pPr>
        <w:numPr>
          <w:ilvl w:val="2"/>
          <w:numId w:val="6"/>
        </w:numPr>
        <w:ind w:firstLine="706"/>
      </w:pPr>
      <w:r>
        <w:t>22.13.1. iesaistītie darbinieki informēti par krāpšanas pazīmēm, korupcijas un interešu konflikta un dubultā finansējuma riska novēršanas jautājumiem, kā arī iekšējo kārtību par sasniegto atskaites punktu un mērķu pamatojošās dokumentāciju, tai skaitā datu ticamības pārbaudi;</w:t>
      </w:r>
    </w:p>
    <w:p w:rsidR="000E6C2B" w:rsidRDefault="00000000">
      <w:pPr>
        <w:numPr>
          <w:ilvl w:val="2"/>
          <w:numId w:val="6"/>
        </w:numPr>
        <w:ind w:firstLine="706"/>
      </w:pPr>
      <w:r>
        <w:lastRenderedPageBreak/>
        <w:t>22.13.2. iesaistītie darbinieki parakstījuši apliecinājumus par pienākumu ziņot par konstatētajiem vai iespējamajiem pārkāpumiem;</w:t>
      </w:r>
    </w:p>
    <w:p w:rsidR="000E6C2B" w:rsidRDefault="00000000">
      <w:pPr>
        <w:numPr>
          <w:ilvl w:val="2"/>
          <w:numId w:val="6"/>
        </w:numPr>
        <w:ind w:firstLine="706"/>
      </w:pPr>
      <w:r>
        <w:t>22.13.3. nodrošinātas iespējas ziņot par pārkāpumiem un nodrošināta ziņotāju aizsardzība atbilstoši Trauksmes celšanas likumam; </w:t>
      </w:r>
    </w:p>
    <w:p w:rsidR="000E6C2B" w:rsidRDefault="00000000">
      <w:pPr>
        <w:numPr>
          <w:ilvl w:val="2"/>
          <w:numId w:val="6"/>
        </w:numPr>
        <w:ind w:firstLine="706"/>
      </w:pPr>
      <w:r>
        <w:t>22.13.4. atbilstošu iepirkuma procedūru izvēle un ''četru acu principa'' nodrošināšana iepirkumos. </w:t>
      </w:r>
    </w:p>
    <w:p w:rsidR="000E6C2B" w:rsidRDefault="00000000">
      <w:pPr>
        <w:numPr>
          <w:ilvl w:val="1"/>
          <w:numId w:val="6"/>
        </w:numPr>
        <w:ind w:firstLine="706"/>
      </w:pPr>
      <w:r>
        <w:t>22.14. atsevišķu grāmatvedības uzskaiti par finansējuma izlietojumu projektā, nodalot tā ietvaros veiktās darbības no citas saimnieciskās darbības;</w:t>
      </w:r>
    </w:p>
    <w:p w:rsidR="000E6C2B" w:rsidRDefault="00000000">
      <w:pPr>
        <w:numPr>
          <w:ilvl w:val="1"/>
          <w:numId w:val="6"/>
        </w:numPr>
        <w:ind w:firstLine="706"/>
      </w:pPr>
      <w:r>
        <w:t>22.15. peļņas un zaudējumu aprēķinu iesniegšanu reizi gadā saistībā ar 2.4.1.2.i. investīcijas atbalsta finansēto tīklu un atmaksāt peļņu, kas pārsniedz 13% slieksni, atbalsta sniedzējam 20 gadus pēc projekta īstenošanas rezultātā izveidotās pasīvās infrastruktūras pieņemšanas ekspluatācijā; </w:t>
      </w:r>
    </w:p>
    <w:p w:rsidR="000E6C2B" w:rsidRDefault="00000000">
      <w:pPr>
        <w:numPr>
          <w:ilvl w:val="1"/>
          <w:numId w:val="6"/>
        </w:numPr>
        <w:ind w:firstLine="706"/>
      </w:pPr>
      <w:r>
        <w:t>22.16. vairumtirdzniecības piekļuves pakalpojumu tarifu projekta un tā aprēķināšanas metodikas projekta iesniegšanu nozares ministrijai vismaz reizi trijos gados.</w:t>
      </w:r>
    </w:p>
    <w:p w:rsidR="000E6C2B" w:rsidRDefault="00000000">
      <w:pPr>
        <w:numPr>
          <w:ilvl w:val="1"/>
          <w:numId w:val="6"/>
        </w:numPr>
        <w:ind w:firstLine="706"/>
      </w:pPr>
      <w:r>
        <w:t>22.17. ar 2.4.1.2.i. investīcijas īstenošanu saistītās informācijas un dokumentu uzglabāšanu 20 gadus pēc projekta īstenošanas rezultātā izveidotās pasīvās infrastruktūras pieņemšanas ekspluatācijā. </w:t>
      </w:r>
    </w:p>
    <w:p w:rsidR="000E6C2B" w:rsidRDefault="00000000">
      <w:pPr>
        <w:numPr>
          <w:ilvl w:val="1"/>
          <w:numId w:val="6"/>
        </w:numPr>
        <w:ind w:firstLine="706"/>
      </w:pPr>
      <w:r>
        <w:t>22.18. nodrošina, ka projektā ir ievērots princips "nenodarīt būtisku kaitējumu" un ka projekts atbilst Atveseļošanās fonda plānā noteiktajiem Eiropas Savienības un nacionālajiem normatīvajiem aktiem vides jomā, tai skaitā:</w:t>
      </w:r>
    </w:p>
    <w:p w:rsidR="000E6C2B" w:rsidRDefault="00000000">
      <w:pPr>
        <w:numPr>
          <w:ilvl w:val="2"/>
          <w:numId w:val="6"/>
        </w:numPr>
        <w:ind w:firstLine="706"/>
      </w:pPr>
      <w:r>
        <w:t>22.18.1. atbilstoši zaļā publiskā iepirkuma principiem, veicot iepirkuma procedūru saskaņā ar šo noteikumu 22.5. apakšpunktu, ievēro obligātās prasības zaļajam publiskajam iepirkumam un to piemērošanas kārtību;</w:t>
      </w:r>
    </w:p>
    <w:p w:rsidR="000E6C2B" w:rsidRDefault="00000000">
      <w:pPr>
        <w:numPr>
          <w:ilvl w:val="2"/>
          <w:numId w:val="6"/>
        </w:numPr>
        <w:ind w:firstLine="706"/>
      </w:pPr>
      <w:r>
        <w:t>22.18.2. būvniecības procesā tiek izmantoti ilgtspējīgi un atjaunojamos energoresursus izmantojoši risinājumi vai ar tiem saistītas tehnoloģijas.</w:t>
      </w:r>
    </w:p>
    <w:p w:rsidR="000E6C2B" w:rsidRDefault="00000000">
      <w:pPr>
        <w:numPr>
          <w:ilvl w:val="0"/>
          <w:numId w:val="6"/>
        </w:numPr>
        <w:spacing w:before="280"/>
        <w:ind w:firstLine="706"/>
      </w:pPr>
      <w:r>
        <w:t>23. Projekta ietvaros izveidotās pasīvās infrastruktūras amortizācijas periods ir 20 gadi un aktīvās infrastruktūras amortizācijas periods ir desmit gadi pēc tās nodošanas ekspluatācijā, un tās laikā finansējuma saņēmējs nodrošina projekta rezultātu ilgtspēju un elektronisko sakaru pakalpojumus galalietotājiem. Piekļuvi vismaz tādiem vairumtirdzniecības pakalpojumiem, kas iekļauti Sabiedrisko pakalpojuma regulēšanas komisijas izdotajos piekļuves pamatpiedāvājuma noteikumos un regulas Nr. 651/2014 2. panta 139. apakšpunktā nodrošina saskaņā ar regulas Nr. 651/2014 52. panta 8. punktu.</w:t>
      </w:r>
    </w:p>
    <w:p w:rsidR="000E6C2B" w:rsidRDefault="00000000">
      <w:pPr>
        <w:pStyle w:val="paragraphheader"/>
        <w:contextualSpacing w:val="0"/>
        <w:jc w:val="center"/>
        <w:rPr>
          <w:b/>
        </w:rPr>
      </w:pPr>
      <w:r>
        <w:rPr>
          <w:b/>
        </w:rPr>
        <w:t>VII.</w:t>
      </w:r>
      <w:r>
        <w:t xml:space="preserve"> </w:t>
      </w:r>
      <w:r>
        <w:rPr>
          <w:b/>
        </w:rPr>
        <w:t>Projektu iesniegumu vērtēšanas kritēriji un projektu iesniegumu atlases kārtība</w:t>
      </w:r>
    </w:p>
    <w:p w:rsidR="000E6C2B" w:rsidRDefault="00000000">
      <w:pPr>
        <w:numPr>
          <w:ilvl w:val="0"/>
          <w:numId w:val="7"/>
        </w:numPr>
        <w:spacing w:before="280"/>
        <w:ind w:firstLine="706"/>
      </w:pPr>
      <w:r>
        <w:t>24. Projektu iesniegumus atlasa atklātā projektu iesniegumu atlasē.</w:t>
      </w:r>
    </w:p>
    <w:p w:rsidR="000E6C2B" w:rsidRDefault="00000000">
      <w:pPr>
        <w:numPr>
          <w:ilvl w:val="0"/>
          <w:numId w:val="7"/>
        </w:numPr>
        <w:spacing w:before="280"/>
        <w:ind w:firstLine="706"/>
      </w:pPr>
      <w:r>
        <w:t xml:space="preserve">25. Atbalsta sniedzējs izsludina projektu iesniegumu atlasi (konkursu), publicējot oficiālajā izdevumā "Latvijas Vēstnesis" un tīmekļvietnē www.esfondi.lv paziņojumu par atklātas projektu iesniegumu atlases izsludināšanu, pagarināšanu, </w:t>
      </w:r>
      <w:r>
        <w:lastRenderedPageBreak/>
        <w:t>pārtraukšanu vai izbeigšanu. Projektu iesniegumu iesniegšanai nosaka termiņu, kas nav īsāks par trim mēnešiem.</w:t>
      </w:r>
    </w:p>
    <w:p w:rsidR="000E6C2B" w:rsidRDefault="00000000">
      <w:pPr>
        <w:numPr>
          <w:ilvl w:val="0"/>
          <w:numId w:val="7"/>
        </w:numPr>
        <w:spacing w:before="280"/>
        <w:ind w:firstLine="706"/>
      </w:pPr>
      <w:r>
        <w:t>26. Projektu iesniegumu vērtēšanu sāk pēc projektu iesniegumu iesniegšanas termiņa beigām. Projekta iesniegums, kas iesniegts pēc projektu iesniegumu iesniegšanas beigu datuma, netiek vērtēts. Atbalsta sniedzējs par to informē projekta iesniedzēju.</w:t>
      </w:r>
    </w:p>
    <w:p w:rsidR="000E6C2B" w:rsidRDefault="00000000">
      <w:pPr>
        <w:numPr>
          <w:ilvl w:val="0"/>
          <w:numId w:val="7"/>
        </w:numPr>
        <w:spacing w:before="280"/>
        <w:ind w:firstLine="706"/>
      </w:pPr>
      <w:r>
        <w:t>27. Projektu iesniegumu vērtēšanai atbalsta sniedzējs izveido projektu iesniegumu vērtēšanas komisiju, kuras sastāvā ir atbalsta sniedzēja pārstāvji, nozares ministrijas pārstāvji un plānošanas reģiona administrācijas pārstāvji. Plānošanas reģiona administrācijai ir tiesības nedeleģēt pārstāvi. Plānošanas reģionu pārstāvjiem projektu iesniegumu vērtēšanas komisijas sēdes balsošanā kopīgi ir viena balss. Vērtēšanas komisija pieaicina kā konsultantu Latvijas Pašvaldību savienības pārstāvi bez balsstiesībām. Vērtēšanas komisijai ir tiesības projektu iesniegumu vērtēšanai pieaicināt nozares ekspertus bez balsstiesībām.</w:t>
      </w:r>
    </w:p>
    <w:p w:rsidR="000E6C2B" w:rsidRDefault="00000000">
      <w:pPr>
        <w:numPr>
          <w:ilvl w:val="0"/>
          <w:numId w:val="7"/>
        </w:numPr>
        <w:spacing w:before="280"/>
        <w:ind w:firstLine="706"/>
      </w:pPr>
      <w:r>
        <w:t>28. Projektu iesniegumu vērtēšanas komisija projektu iesniegumu atlases termiņā saņemtos projektu iesniegumus vērtē atbilstoši šo noteikumu 1. pielikumā minētajiem projektu iesniegumu vērtēšanas kritērijiem:</w:t>
      </w:r>
    </w:p>
    <w:p w:rsidR="000E6C2B" w:rsidRDefault="00000000">
      <w:pPr>
        <w:numPr>
          <w:ilvl w:val="1"/>
          <w:numId w:val="7"/>
        </w:numPr>
        <w:ind w:firstLine="706"/>
      </w:pPr>
      <w:r>
        <w:t>28.1. izslēgšanas kritēriji. Ja konstatē, ka uz projekta iesniedzēju ir attiecināms kaut viens no izslēgšanas kritērijiem, turpmāko projekta iesnieguma vērtēšanu neveic;</w:t>
      </w:r>
    </w:p>
    <w:p w:rsidR="000E6C2B" w:rsidRDefault="00000000">
      <w:pPr>
        <w:numPr>
          <w:ilvl w:val="1"/>
          <w:numId w:val="7"/>
        </w:numPr>
        <w:ind w:firstLine="706"/>
      </w:pPr>
      <w:r>
        <w:t>28.2. atbilstības kritēriji. Projektu iesniegumus atbilstoši šiem kritērijiem vērtē, lai gūtu pārliecību, ka projekta iesniegums atbilst nepieciešamajiem nosacījumiem, lai kvalificētos atbalstam investīcijas ietvaros.</w:t>
      </w:r>
    </w:p>
    <w:p w:rsidR="000E6C2B" w:rsidRDefault="00000000">
      <w:pPr>
        <w:numPr>
          <w:ilvl w:val="1"/>
          <w:numId w:val="7"/>
        </w:numPr>
        <w:ind w:firstLine="706"/>
      </w:pPr>
      <w:r>
        <w:t>28.3. kvalitātes kritēriji:</w:t>
      </w:r>
    </w:p>
    <w:p w:rsidR="000E6C2B" w:rsidRDefault="00000000">
      <w:pPr>
        <w:numPr>
          <w:ilvl w:val="2"/>
          <w:numId w:val="7"/>
        </w:numPr>
        <w:ind w:firstLine="706"/>
      </w:pPr>
      <w:r>
        <w:t>28.3.1. atbilstības kritērijiem atbilstošos attiecīgā plānošanas reģiona projektus, ievērojot šo noteikumu 11. punktā minēto katram plānošanas reģionam konkursa sākumā pieejamo Atveseļošanas fonda finansējuma apjomu, sarindo pēc kvalitātes kritērijos iegūtā kopējā punktu skaitu un priekšroku dod projektam ar lielāko kopējo punktu skaitu;</w:t>
      </w:r>
    </w:p>
    <w:p w:rsidR="000E6C2B" w:rsidRDefault="00000000">
      <w:pPr>
        <w:numPr>
          <w:ilvl w:val="2"/>
          <w:numId w:val="7"/>
        </w:numPr>
        <w:ind w:firstLine="706"/>
      </w:pPr>
      <w:r>
        <w:t>28.3.2. ja kopējie kvalitātes kritēriju punktu skaiti ir vienādi, priekšroku dod projektam, kurš piedāvā lielāku  mājsaimniecību, uzņēmumu, izglītības iestāžu, ārstniecības iestāžu un citu sabiedrisko ēku skaitu (adrešu skaits), kam ir piekļuve platjoslas savienojumiem ar ļoti augstas veiktspējas tīklu (rādītājs). Ja tie ir vienādi, priekšroku dod projektam, kuram ir zemākā piedāvātā ikmēneša abonēšanas cena galalietotājiem par interneta lejupielādes ātrumu vismaz 300 Mbit/s. </w:t>
      </w:r>
    </w:p>
    <w:p w:rsidR="000E6C2B" w:rsidRDefault="00000000">
      <w:pPr>
        <w:numPr>
          <w:ilvl w:val="0"/>
          <w:numId w:val="7"/>
        </w:numPr>
        <w:spacing w:before="280"/>
        <w:ind w:firstLine="706"/>
      </w:pPr>
      <w:r>
        <w:t>29. Projektu iesniedzējs var piesaistīt projektā partneri, noslēdzot sadarbības līgumu, kurā iekļauj atbildības sadalījumu projekta īstenošanā. Atbilstību noteiktajām prasībām projektu iesniedzējs var apliecināt kopā ar sadarbības partneri, izņemot izslēgšanas kritēriju noteiktajām prasībām jāatbilst gan projekta iesniedzējam, gan tā partnerim, ja tāds ir paredzēts.</w:t>
      </w:r>
    </w:p>
    <w:p w:rsidR="000E6C2B" w:rsidRDefault="00000000">
      <w:pPr>
        <w:numPr>
          <w:ilvl w:val="0"/>
          <w:numId w:val="7"/>
        </w:numPr>
        <w:spacing w:before="280"/>
        <w:ind w:firstLine="706"/>
      </w:pPr>
      <w:r>
        <w:lastRenderedPageBreak/>
        <w:t>30. Atbalsta sniedzējs, pamatojoties uz projektu iesniegumu vērtēšanas komisijas sniegto atzinumu, izdod lēmumu par projekta iesnieguma apstiprināšanu, apstiprināšanu ar nosacījumu vai noraidīšanu.</w:t>
      </w:r>
    </w:p>
    <w:p w:rsidR="000E6C2B" w:rsidRDefault="00000000">
      <w:pPr>
        <w:numPr>
          <w:ilvl w:val="0"/>
          <w:numId w:val="7"/>
        </w:numPr>
        <w:spacing w:before="280"/>
        <w:ind w:firstLine="706"/>
      </w:pPr>
      <w:r>
        <w:t>31. Lēmumu par projekta iesnieguma apstiprināšanu pieņem, ja ir izpildīti visi šādi nosacījumi:</w:t>
      </w:r>
    </w:p>
    <w:p w:rsidR="000E6C2B" w:rsidRDefault="00000000">
      <w:pPr>
        <w:numPr>
          <w:ilvl w:val="1"/>
          <w:numId w:val="7"/>
        </w:numPr>
        <w:ind w:firstLine="706"/>
      </w:pPr>
      <w:r>
        <w:t>31.1. uz projekta iesniedzēju nav attiecināms neviens no izslēgšanas kritērijiem;</w:t>
      </w:r>
    </w:p>
    <w:p w:rsidR="000E6C2B" w:rsidRDefault="00000000">
      <w:pPr>
        <w:numPr>
          <w:ilvl w:val="1"/>
          <w:numId w:val="7"/>
        </w:numPr>
        <w:ind w:firstLine="706"/>
      </w:pPr>
      <w:r>
        <w:t>31.2. projekta iesniegums atbilst projektu iesniegumu vērtēšanas kritērijiem;</w:t>
      </w:r>
    </w:p>
    <w:p w:rsidR="000E6C2B" w:rsidRDefault="00000000">
      <w:pPr>
        <w:numPr>
          <w:ilvl w:val="1"/>
          <w:numId w:val="7"/>
        </w:numPr>
        <w:ind w:firstLine="706"/>
      </w:pPr>
      <w:r>
        <w:t>31.3. investīcijas ietvaros ir pieejams finansējums projekta īstenošanai.</w:t>
      </w:r>
    </w:p>
    <w:p w:rsidR="000E6C2B" w:rsidRDefault="00000000">
      <w:pPr>
        <w:numPr>
          <w:ilvl w:val="0"/>
          <w:numId w:val="7"/>
        </w:numPr>
        <w:spacing w:before="280"/>
        <w:ind w:firstLine="706"/>
      </w:pPr>
      <w:r>
        <w:t>32. Lēmumu par projekta iesnieguma apstiprināšanu ar nosacījumu pieņem, ja projekta iesniedzējam jāveic atbalsta sniedzēja noteiktās darbības, lai projekta iesniegums pilnībā atbilstu projektu iesniegumu vērtēšanas kritērijiem un projektu varētu atbilstoši īstenot. Ja kāds no lēmumā noteiktajiem nosacījumiem netiek izpildīts vai netiek izpildīts lēmumā noteiktajā termiņā, projekta iesniegumu noraida, savukārt, ja minētie nosacījumi tiek izpildīti, atbalsta sniedzējs izdod atzinumu par lēmumā noteikto nosacījumu izpildi.</w:t>
      </w:r>
    </w:p>
    <w:p w:rsidR="000E6C2B" w:rsidRDefault="00000000">
      <w:pPr>
        <w:numPr>
          <w:ilvl w:val="0"/>
          <w:numId w:val="7"/>
        </w:numPr>
        <w:spacing w:before="280"/>
        <w:ind w:firstLine="706"/>
      </w:pPr>
      <w:r>
        <w:t>33. Lēmumu par projekta iesnieguma noraidīšanu pieņem, ja ir spēkā vismaz viens no šādiem nosacījumiem:</w:t>
      </w:r>
    </w:p>
    <w:p w:rsidR="000E6C2B" w:rsidRDefault="00000000">
      <w:pPr>
        <w:numPr>
          <w:ilvl w:val="1"/>
          <w:numId w:val="7"/>
        </w:numPr>
        <w:ind w:firstLine="706"/>
      </w:pPr>
      <w:r>
        <w:t>33.1. uz projekta iesniedzēju attiecas vismaz viens no izslēgšanas kritērijiem;</w:t>
      </w:r>
    </w:p>
    <w:p w:rsidR="000E6C2B" w:rsidRDefault="00000000">
      <w:pPr>
        <w:numPr>
          <w:ilvl w:val="1"/>
          <w:numId w:val="7"/>
        </w:numPr>
        <w:ind w:firstLine="706"/>
      </w:pPr>
      <w:r>
        <w:t>33.2. nav novērstas projekta iesnieguma nepilnības saskaņā ar šo noteikumu 32. punktu;</w:t>
      </w:r>
    </w:p>
    <w:p w:rsidR="000E6C2B" w:rsidRDefault="00000000">
      <w:pPr>
        <w:numPr>
          <w:ilvl w:val="1"/>
          <w:numId w:val="7"/>
        </w:numPr>
        <w:ind w:firstLine="706"/>
      </w:pPr>
      <w:r>
        <w:t>33.3. investīcijas ietvaros nav pieejams finansējums projekta īstenošanai.</w:t>
      </w:r>
    </w:p>
    <w:p w:rsidR="000E6C2B" w:rsidRDefault="00000000">
      <w:pPr>
        <w:numPr>
          <w:ilvl w:val="0"/>
          <w:numId w:val="7"/>
        </w:numPr>
        <w:spacing w:before="280"/>
        <w:ind w:firstLine="706"/>
      </w:pPr>
      <w:r>
        <w:t>34. Projekta iesniedzējs atbalsta sniedzēja pieņemto lēmumu par projekta iesnieguma apstiprināšanu ar nosacījumu vai lēmumu par projekta iesnieguma noraidīšanu var apstrīdēt Finanšu ministrijā viena mēneša laikā no lēmuma spēkā stāšanās dienas. Projekta iesniedzējs Finanšu ministrijas pieņemto lēmumu var pārsūdzēt Administratīvā procesa likumā noteiktajā kārtībā.</w:t>
      </w:r>
    </w:p>
    <w:p w:rsidR="000E6C2B" w:rsidRDefault="00000000">
      <w:pPr>
        <w:pStyle w:val="paragraphheader"/>
        <w:contextualSpacing w:val="0"/>
        <w:jc w:val="center"/>
        <w:rPr>
          <w:b/>
        </w:rPr>
      </w:pPr>
      <w:r>
        <w:rPr>
          <w:b/>
        </w:rPr>
        <w:t>VIII.</w:t>
      </w:r>
      <w:r>
        <w:t xml:space="preserve"> </w:t>
      </w:r>
      <w:r>
        <w:rPr>
          <w:b/>
        </w:rPr>
        <w:t>Vizuālās identitātes prasības </w:t>
      </w:r>
    </w:p>
    <w:p w:rsidR="000E6C2B" w:rsidRDefault="00000000">
      <w:pPr>
        <w:numPr>
          <w:ilvl w:val="0"/>
          <w:numId w:val="8"/>
        </w:numPr>
        <w:spacing w:before="280"/>
        <w:ind w:firstLine="706"/>
      </w:pPr>
      <w:r>
        <w:t>35. Finansējuma saņēmējs nodrošina informācijas un publicitātes pasākumus par 2.4.1.2.i. investīciju saskaņā ar Eiropas Parlamenta un Padomes 2021. gada 12. februāra regulas Nr. 2021/241, ar ko izveido Atveseļošanas un noturības mehānismu, 34. pantu un Eiropas Komisijas un Latvijas Republikas Atveseļošanas un noturības mehānisma finansēšanas nolīguma 10. pantu. </w:t>
      </w:r>
    </w:p>
    <w:p w:rsidR="000E6C2B" w:rsidRDefault="00000000">
      <w:pPr>
        <w:numPr>
          <w:ilvl w:val="0"/>
          <w:numId w:val="8"/>
        </w:numPr>
        <w:spacing w:before="280"/>
        <w:ind w:firstLine="706"/>
      </w:pPr>
      <w:r>
        <w:t>36. Nozares ministrija ne retāk kā reizi trijos mēnešos nodrošina aktuālās informācijas ievietošanu savā tīmekļa vietnē par projekta īstenošanas gaitu.</w:t>
      </w:r>
    </w:p>
    <w:p w:rsidR="000E6C2B" w:rsidRDefault="00000000">
      <w:pPr>
        <w:pStyle w:val="paragraphheader"/>
        <w:contextualSpacing w:val="0"/>
        <w:jc w:val="center"/>
        <w:rPr>
          <w:b/>
        </w:rPr>
      </w:pPr>
      <w:r>
        <w:rPr>
          <w:b/>
        </w:rPr>
        <w:t>IX.</w:t>
      </w:r>
      <w:r>
        <w:t xml:space="preserve"> </w:t>
      </w:r>
      <w:r>
        <w:rPr>
          <w:b/>
        </w:rPr>
        <w:t>Komercdarbības atbalsta nosacījumi</w:t>
      </w:r>
    </w:p>
    <w:p w:rsidR="000E6C2B" w:rsidRDefault="00000000">
      <w:pPr>
        <w:numPr>
          <w:ilvl w:val="0"/>
          <w:numId w:val="9"/>
        </w:numPr>
        <w:spacing w:before="280"/>
        <w:ind w:firstLine="706"/>
      </w:pPr>
      <w:r>
        <w:lastRenderedPageBreak/>
        <w:t>37. 2.4.1.2.i. investīcijas atbalsta instruments ir grants un maksimālā atbalsta summa individuālam projektam ir 800 000 euro un kopējais pieļaujamais atbalsta apmērs ir 4 000 000 euro darbībām, kas minētas šo noteikumu IV nodaļā, un piemērojamā komercdarbības atbalsta intensitāte ir 100%. </w:t>
      </w:r>
    </w:p>
    <w:p w:rsidR="000E6C2B" w:rsidRDefault="00000000">
      <w:pPr>
        <w:numPr>
          <w:ilvl w:val="0"/>
          <w:numId w:val="9"/>
        </w:numPr>
        <w:spacing w:before="280"/>
        <w:ind w:firstLine="706"/>
      </w:pPr>
      <w:r>
        <w:t>38. Pirms 2.4.1.2.i. investīcijas īstenošanas uzsākšanas nozares ministrija informē Eiropas Komisiju saskaņā ar Eiropas Komisijas Regulu 2023/1315, ar kuru groza Regulu (ES) Nr. 651/2014, ar ko noteiktas atbalsta kategorijas atzīst par saderīgām ar iekšējo tirgu, piemērojot Līguma 107. un 108. pantu, un Regulu (ES) 2022/2473, ar kuru, piemērojot Līguma 107. un 108. pantu, dažu kategoriju atbalstu uzņēmumiem, kas nodarbojas ar zvejas un akvakultūras produktu ražošanu, apstrādi un tirdzniecību, atzīst par saderīgu ar iekšējo tirgu.</w:t>
      </w:r>
    </w:p>
    <w:p w:rsidR="000E6C2B" w:rsidRDefault="00000000">
      <w:pPr>
        <w:numPr>
          <w:ilvl w:val="0"/>
          <w:numId w:val="9"/>
        </w:numPr>
        <w:spacing w:before="280"/>
        <w:ind w:firstLine="706"/>
      </w:pPr>
      <w:r>
        <w:t>39. Finansējuma saņēmējs nav grūtībās nonācis uzņēmums, kas definēts regulas Nr. 651/2014 2. panta 18. punktā. </w:t>
      </w:r>
    </w:p>
    <w:p w:rsidR="000E6C2B" w:rsidRDefault="00000000">
      <w:pPr>
        <w:numPr>
          <w:ilvl w:val="0"/>
          <w:numId w:val="9"/>
        </w:numPr>
        <w:spacing w:before="280"/>
        <w:ind w:firstLine="706"/>
      </w:pPr>
      <w:r>
        <w:t>40. Stimulējošās ietekmes nosacījumu nodrošināšanai:</w:t>
      </w:r>
    </w:p>
    <w:p w:rsidR="000E6C2B" w:rsidRDefault="00000000">
      <w:pPr>
        <w:numPr>
          <w:ilvl w:val="1"/>
          <w:numId w:val="9"/>
        </w:numPr>
        <w:ind w:firstLine="706"/>
      </w:pPr>
      <w:r>
        <w:t>40.1. atbalsta sniedzējs nedrīkst piešķirt atbalstu projektiem, kas ir uzsākti pirms projekta iesnieguma iesniegšanas atbalsta sniedzējam, izņemot tās aktivitātes, kas nav uzskatāmas par darbu sākumu atbilstoši regulas Nr. 651/2014  2.panta 23.punktā noteiktajai darbu sākuma definīcijai;</w:t>
      </w:r>
    </w:p>
    <w:p w:rsidR="000E6C2B" w:rsidRDefault="00000000">
      <w:pPr>
        <w:numPr>
          <w:ilvl w:val="1"/>
          <w:numId w:val="9"/>
        </w:numPr>
        <w:ind w:firstLine="706"/>
      </w:pPr>
      <w:r>
        <w:t>40.2. nozares ministrija veic sabiedrisko apspriešanu, kurā elektronisko sakaru komersantiem lūgts iesniegt pamatotu informāciju par to tīkliem, kuri atrodas vai kurus ticami plānots ierīkot mērķa teritorijā projekta īstenošanas laikā, publicējot informāciju Satiksmes ministrijas tīmekļa vietnē. Pēc sabiedriskās apspriešanas beigām viena gada laikā veic projekta atlasi vai veic jaunu sabiedrisko apspriešanu, ja netika uzsākta projekta atlase. </w:t>
      </w:r>
    </w:p>
    <w:p w:rsidR="000E6C2B" w:rsidRDefault="00000000">
      <w:pPr>
        <w:numPr>
          <w:ilvl w:val="0"/>
          <w:numId w:val="9"/>
        </w:numPr>
        <w:spacing w:before="280"/>
        <w:ind w:firstLine="706"/>
      </w:pPr>
      <w:r>
        <w:t>41. Atbalsts netiek sniegts saņēmējam, uz kuru attiecas līdzekļu atgūšanas rīkojums saskaņā ar iepriekšēju Eiropas Komisijas lēmumu, ar ko atbalsts tiek atzīts par nelikumīgu un nesaderīgu ar kopējo tirgu. </w:t>
      </w:r>
    </w:p>
    <w:p w:rsidR="000E6C2B" w:rsidRDefault="00000000">
      <w:pPr>
        <w:numPr>
          <w:ilvl w:val="0"/>
          <w:numId w:val="9"/>
        </w:numPr>
        <w:spacing w:before="280"/>
        <w:ind w:firstLine="706"/>
      </w:pPr>
      <w:r>
        <w:t>42. Atbalsts tiek sniegts, ja uz projekta iesniedzēju nav attiecināmi Eiropas Parlamenta un Padomes 2018. gada 18. jūlija Regulas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 136. pantā noteiktie izslēgšanas kritēriji.</w:t>
      </w:r>
    </w:p>
    <w:p w:rsidR="000E6C2B" w:rsidRDefault="00000000">
      <w:pPr>
        <w:numPr>
          <w:ilvl w:val="0"/>
          <w:numId w:val="9"/>
        </w:numPr>
        <w:spacing w:before="280"/>
        <w:ind w:firstLine="706"/>
      </w:pPr>
      <w:r>
        <w:t>43. Atbalsta piešķiršanas brīdis ir atbalsta sniedzēja lēmums par projekta apstiprināšanu vai atzinums par nosacījumu izpildi.</w:t>
      </w:r>
    </w:p>
    <w:p w:rsidR="000E6C2B" w:rsidRDefault="00000000">
      <w:pPr>
        <w:numPr>
          <w:ilvl w:val="0"/>
          <w:numId w:val="9"/>
        </w:numPr>
        <w:spacing w:before="280"/>
        <w:ind w:firstLine="706"/>
      </w:pPr>
      <w:r>
        <w:lastRenderedPageBreak/>
        <w:t>44. Lēmumu par atbalsta piešķiršanu var pieņemt līdz 2024. gada 31. decembrim.  </w:t>
      </w:r>
    </w:p>
    <w:p w:rsidR="000E6C2B" w:rsidRDefault="00000000">
      <w:pPr>
        <w:numPr>
          <w:ilvl w:val="0"/>
          <w:numId w:val="9"/>
        </w:numPr>
        <w:spacing w:before="280"/>
        <w:ind w:firstLine="706"/>
      </w:pPr>
      <w:r>
        <w:t>45. Subsidēto elektronisko sakaru tīklu uzraudzības komiteja projekta īstenošanas rezultātā izveidotās infrastruktūras amortizācijas periodā nodrošina 2.4.1.2.i. investīcijas uzraudzību un:  </w:t>
      </w:r>
    </w:p>
    <w:p w:rsidR="000E6C2B" w:rsidRDefault="00000000">
      <w:pPr>
        <w:numPr>
          <w:ilvl w:val="1"/>
          <w:numId w:val="9"/>
        </w:numPr>
        <w:ind w:firstLine="706"/>
      </w:pPr>
      <w:r>
        <w:t>45.1. apstiprina un vismaz reizi trīs gados pārskata vairumtirdzniecības piekļuves pakalpojumu tarifu projekta īstenošanas rezultātā izveidotajai infrastruktūrai un tā aprēķināšanas metodiku;</w:t>
      </w:r>
    </w:p>
    <w:p w:rsidR="000E6C2B" w:rsidRDefault="00000000">
      <w:pPr>
        <w:numPr>
          <w:ilvl w:val="1"/>
          <w:numId w:val="9"/>
        </w:numPr>
        <w:ind w:firstLine="706"/>
      </w:pPr>
      <w:r>
        <w:t>45.2. apstiprina vairumtirdzniecības piekļuves pakalpojumu nosacījumus 2.4.1.2.i. investīcijas īstenošanas rezultātā izveidotajai infrastruktūrai.</w:t>
      </w:r>
    </w:p>
    <w:p w:rsidR="000E6C2B" w:rsidRDefault="00000000">
      <w:pPr>
        <w:numPr>
          <w:ilvl w:val="0"/>
          <w:numId w:val="9"/>
        </w:numPr>
        <w:spacing w:before="280"/>
        <w:ind w:firstLine="706"/>
      </w:pPr>
      <w:r>
        <w:t>46. Subsidēto elektronisko sakaru tīklu uzraudzības komiteja ir koleģiāla institūcija, kuras sastāvā ir šādi komitejas locekļi ar balsstiesībām:</w:t>
      </w:r>
    </w:p>
    <w:p w:rsidR="000E6C2B" w:rsidRDefault="00000000">
      <w:pPr>
        <w:numPr>
          <w:ilvl w:val="1"/>
          <w:numId w:val="9"/>
        </w:numPr>
        <w:ind w:firstLine="706"/>
      </w:pPr>
      <w:r>
        <w:t>46.1. nozares ministrijas pārstāvis – Subsidēto elektronisko sakaru tīklu uzraudzības komitejas priekšsēdētājs un Subsidēto elektronisko sakaru tīklu uzraudzības komitejas priekšsēdētāja vietnieks; </w:t>
      </w:r>
    </w:p>
    <w:p w:rsidR="000E6C2B" w:rsidRDefault="00000000">
      <w:pPr>
        <w:numPr>
          <w:ilvl w:val="1"/>
          <w:numId w:val="9"/>
        </w:numPr>
        <w:ind w:firstLine="706"/>
      </w:pPr>
      <w:r>
        <w:t>46.2. Vides aizsardzības un reģionālās attīstības ministrijas pārstāvis; </w:t>
      </w:r>
    </w:p>
    <w:p w:rsidR="000E6C2B" w:rsidRDefault="00000000">
      <w:pPr>
        <w:numPr>
          <w:ilvl w:val="1"/>
          <w:numId w:val="9"/>
        </w:numPr>
        <w:ind w:firstLine="706"/>
      </w:pPr>
      <w:r>
        <w:t>46.3. Latvijas Pašvaldību savienības pārstāvis;</w:t>
      </w:r>
    </w:p>
    <w:p w:rsidR="000E6C2B" w:rsidRDefault="00000000">
      <w:pPr>
        <w:numPr>
          <w:ilvl w:val="1"/>
          <w:numId w:val="9"/>
        </w:numPr>
        <w:ind w:firstLine="706"/>
      </w:pPr>
      <w:r>
        <w:t>46.4. katra plānošanas reģiona pārstāvis (plānošanas reģionu pārstāvjiem Subsidēto elektronisko sakaru tīklu uzraudzības komitejas sēdes balsošanā kopīgi ir viena balss); </w:t>
      </w:r>
    </w:p>
    <w:p w:rsidR="000E6C2B" w:rsidRDefault="00000000">
      <w:pPr>
        <w:numPr>
          <w:ilvl w:val="1"/>
          <w:numId w:val="9"/>
        </w:numPr>
        <w:ind w:firstLine="706"/>
      </w:pPr>
      <w:r>
        <w:t>46.5. Patērētāju tiesību aizsardzības centra pārstāvis; </w:t>
      </w:r>
    </w:p>
    <w:p w:rsidR="000E6C2B" w:rsidRDefault="00000000">
      <w:pPr>
        <w:numPr>
          <w:ilvl w:val="1"/>
          <w:numId w:val="9"/>
        </w:numPr>
        <w:ind w:firstLine="706"/>
      </w:pPr>
      <w:r>
        <w:t>46.6. Latvijas Darba devēju konfederācijas pārstāvis un Latvijas Tirdzniecības un rūpniecības kameras pārstāvis (minēto organizāciju pārstāvjiem Subsidēto elektronisko sakaru tīklu uzraudzības komitejas sēdēs balsošanā kopīgi ir viena balss);  </w:t>
      </w:r>
    </w:p>
    <w:p w:rsidR="000E6C2B" w:rsidRDefault="00000000">
      <w:pPr>
        <w:numPr>
          <w:ilvl w:val="1"/>
          <w:numId w:val="9"/>
        </w:numPr>
        <w:ind w:firstLine="706"/>
      </w:pPr>
      <w:r>
        <w:t>46.7. informācijas un komunikācijas tehnoloģiju nozares asociāciju pārstāvji (informācijas un komunikācijas tehnoloģiju nozares asociāciju pārstāvjiem Subsidēto elektronisko sakaru tīklu uzraudzības komitejas sēdes balsošanā kopīgi ir viena balss). </w:t>
      </w:r>
    </w:p>
    <w:p w:rsidR="000E6C2B" w:rsidRDefault="00000000">
      <w:pPr>
        <w:numPr>
          <w:ilvl w:val="0"/>
          <w:numId w:val="9"/>
        </w:numPr>
        <w:spacing w:before="280"/>
        <w:ind w:firstLine="706"/>
      </w:pPr>
      <w:r>
        <w:t>47. Subsidēto elektronisko sakaru tīklu uzraudzības  komitejas sastāvā ar padomdevēja tiesībām var piedalīties: </w:t>
      </w:r>
    </w:p>
    <w:p w:rsidR="000E6C2B" w:rsidRDefault="00000000">
      <w:pPr>
        <w:numPr>
          <w:ilvl w:val="1"/>
          <w:numId w:val="9"/>
        </w:numPr>
        <w:ind w:firstLine="706"/>
      </w:pPr>
      <w:r>
        <w:t>47.1. Sabiedrisko pakalpojumu regulēšanas komisijas pārstāvis; </w:t>
      </w:r>
    </w:p>
    <w:p w:rsidR="000E6C2B" w:rsidRDefault="00000000">
      <w:pPr>
        <w:numPr>
          <w:ilvl w:val="1"/>
          <w:numId w:val="9"/>
        </w:numPr>
        <w:ind w:firstLine="706"/>
      </w:pPr>
      <w:r>
        <w:t>47.2. Konkurences padomes pārstāvis; </w:t>
      </w:r>
    </w:p>
    <w:p w:rsidR="000E6C2B" w:rsidRDefault="00000000">
      <w:pPr>
        <w:numPr>
          <w:ilvl w:val="1"/>
          <w:numId w:val="9"/>
        </w:numPr>
        <w:ind w:firstLine="706"/>
      </w:pPr>
      <w:r>
        <w:t>47.3. atbalsta sniedzēja pārstāvis. </w:t>
      </w:r>
    </w:p>
    <w:p w:rsidR="000E6C2B" w:rsidRDefault="00000000">
      <w:pPr>
        <w:numPr>
          <w:ilvl w:val="0"/>
          <w:numId w:val="9"/>
        </w:numPr>
        <w:spacing w:before="280"/>
        <w:ind w:firstLine="706"/>
      </w:pPr>
      <w:r>
        <w:t>48. Subsidēto elektronisko sakaru tīklu uzraudzības komitejas sastāvā novērotāja statusā var piedalīties Finanšu ministrijas pārstāvis. </w:t>
      </w:r>
    </w:p>
    <w:p w:rsidR="000E6C2B" w:rsidRDefault="00000000">
      <w:pPr>
        <w:numPr>
          <w:ilvl w:val="0"/>
          <w:numId w:val="9"/>
        </w:numPr>
        <w:spacing w:before="280"/>
        <w:ind w:firstLine="706"/>
      </w:pPr>
      <w:r>
        <w:t>49. Subsidēto elektronisko sakaru tīklu uzraudzības komitejas sekretariāta funkcijas nodrošina nozares ministrija. </w:t>
      </w:r>
    </w:p>
    <w:p w:rsidR="000E6C2B" w:rsidRDefault="00000000">
      <w:pPr>
        <w:numPr>
          <w:ilvl w:val="0"/>
          <w:numId w:val="9"/>
        </w:numPr>
        <w:spacing w:before="280"/>
        <w:ind w:firstLine="706"/>
      </w:pPr>
      <w:r>
        <w:lastRenderedPageBreak/>
        <w:t>50. Subsidēto elektronisko sakaru tīklu uzraudzības komitejas darbību nosaka Subsidēto elektronisko sakaru tīklu uzraudzības komitejas reglaments, kuru apstiprina Satiksmes ministrijas valsts sekretārs. </w:t>
      </w:r>
    </w:p>
    <w:p w:rsidR="000E6C2B" w:rsidRDefault="00000000">
      <w:pPr>
        <w:numPr>
          <w:ilvl w:val="0"/>
          <w:numId w:val="9"/>
        </w:numPr>
        <w:spacing w:before="280"/>
        <w:ind w:firstLine="706"/>
      </w:pPr>
      <w:r>
        <w:t>51. Subsidēto elektronisko sakaru tīklu uzraudzības komitejai ir tiesības sniegt ierosinājumus nozares ministrijai. </w:t>
      </w:r>
    </w:p>
    <w:p w:rsidR="000E6C2B" w:rsidRDefault="00000000">
      <w:pPr>
        <w:numPr>
          <w:ilvl w:val="0"/>
          <w:numId w:val="9"/>
        </w:numPr>
        <w:spacing w:before="280"/>
        <w:ind w:firstLine="706"/>
      </w:pPr>
      <w:r>
        <w:t>52. Subsidēto elektronisko sakaru tīklu uzraudzības komiteja izvērtē saņemtos ierosinājumus un pieņem lēmumu, balsstiesīgajiem komitejas locekļiem savstarpēji vienojoties. Ja vienošanās nav panākta vai komitejas priekšsēdētājs uzskata balsošanu par nepieciešamu, lēmumu pieņem ar vienkāršu balsu vairākumu, balsojot atklāti. Ja balsu skaits sadalās vienādi, izšķirošā ir komitejas priekšsēdētāja balss. </w:t>
      </w:r>
    </w:p>
    <w:p w:rsidR="000E6C2B" w:rsidRDefault="00000000">
      <w:pPr>
        <w:numPr>
          <w:ilvl w:val="0"/>
          <w:numId w:val="9"/>
        </w:numPr>
        <w:spacing w:before="280"/>
        <w:ind w:firstLine="706"/>
      </w:pPr>
      <w:r>
        <w:t>53. Atbalsta sniedzējs līdz brīdim, kad finansējuma saņēmējs nelikumīgo komercdarbības atbalsta kopējo summu un attiecīgos procentus par atgūšanu ir atmaksājis vai iemaksājis bloķētā kontā, aptur paziņotā atbalsta piešķiršanu un/vai izmaksāšanu, ja finansējuma saņēmēja rīcībā joprojām ir iepriekšējs nelikumīgs atbalsts, kas ar Eiropas Komisijas lēmumu ir atzīts par nesaderīgu.  </w:t>
      </w:r>
    </w:p>
    <w:p w:rsidR="000E6C2B" w:rsidRDefault="00000000">
      <w:pPr>
        <w:numPr>
          <w:ilvl w:val="0"/>
          <w:numId w:val="9"/>
        </w:numPr>
        <w:spacing w:before="280"/>
        <w:ind w:firstLine="706"/>
      </w:pPr>
      <w:r>
        <w:t>54. Ja tiek pārkāptas šajos noteikumos noteiktās komercdarbības atbalsta kontroles normas, finansējuma saņēmējam ir pienākums atmaksāt atbalsta sniedzējam projekta ietvaros saņemto nelikumīgo komercdarbības atbalstu kopā ar procentiem no līdzekļiem, kas ir brīvi no komercdarbības atbalsta, atbilstoši Komercdarbības atbalsta kontroles likuma IV vai V nodaļas nosacījumiem. </w:t>
      </w:r>
    </w:p>
    <w:p w:rsidR="000E6C2B" w:rsidRDefault="000E6C2B">
      <w:pPr>
        <w:spacing w:before="480"/>
      </w:pPr>
    </w:p>
    <w:tbl>
      <w:tblPr>
        <w:tblStyle w:val="a"/>
        <w:tblW w:w="9642" w:type="dxa"/>
        <w:tblLayout w:type="fixed"/>
        <w:tblLook w:val="0600" w:firstRow="0" w:lastRow="0" w:firstColumn="0" w:lastColumn="0" w:noHBand="1" w:noVBand="1"/>
      </w:tblPr>
      <w:tblGrid>
        <w:gridCol w:w="2721"/>
        <w:gridCol w:w="4200"/>
        <w:gridCol w:w="2721"/>
      </w:tblGrid>
      <w:tr w:rsidR="000E6C2B">
        <w:tc>
          <w:tcPr>
            <w:tcW w:w="2721" w:type="dxa"/>
            <w:shd w:val="clear" w:color="auto" w:fill="FFFFFF"/>
            <w:noWrap/>
            <w:tcMar>
              <w:top w:w="0" w:type="dxa"/>
              <w:left w:w="0" w:type="dxa"/>
              <w:bottom w:w="0" w:type="dxa"/>
              <w:right w:w="0" w:type="dxa"/>
            </w:tcMar>
            <w:vAlign w:val="center"/>
          </w:tcPr>
          <w:p w:rsidR="000E6C2B" w:rsidRDefault="00000000">
            <w:pPr>
              <w:jc w:val="left"/>
            </w:pPr>
            <w:r>
              <w:t>Ministru prezidents</w:t>
            </w:r>
          </w:p>
        </w:tc>
        <w:tc>
          <w:tcPr>
            <w:tcW w:w="4200" w:type="dxa"/>
            <w:shd w:val="clear" w:color="auto" w:fill="FFFFFF"/>
            <w:noWrap/>
            <w:tcMar>
              <w:top w:w="0" w:type="dxa"/>
              <w:left w:w="0" w:type="dxa"/>
              <w:bottom w:w="0" w:type="dxa"/>
              <w:right w:w="0" w:type="dxa"/>
            </w:tcMar>
            <w:vAlign w:val="center"/>
          </w:tcPr>
          <w:p w:rsidR="000E6C2B" w:rsidRDefault="00000000">
            <w:pPr>
              <w:jc w:val="center"/>
            </w:pPr>
            <w:r>
              <w:rPr>
                <w:sz w:val="24"/>
              </w:rPr>
              <w:t>(paraksts*)</w:t>
            </w:r>
          </w:p>
        </w:tc>
        <w:tc>
          <w:tcPr>
            <w:tcW w:w="2721" w:type="dxa"/>
            <w:shd w:val="clear" w:color="auto" w:fill="FFFFFF"/>
            <w:noWrap/>
            <w:tcMar>
              <w:top w:w="0" w:type="dxa"/>
              <w:left w:w="0" w:type="dxa"/>
              <w:bottom w:w="0" w:type="dxa"/>
              <w:right w:w="0" w:type="dxa"/>
            </w:tcMar>
            <w:vAlign w:val="center"/>
          </w:tcPr>
          <w:p w:rsidR="000E6C2B" w:rsidRDefault="00000000">
            <w:pPr>
              <w:jc w:val="right"/>
            </w:pPr>
            <w:r>
              <w:t>V. Uzvārds</w:t>
            </w:r>
          </w:p>
        </w:tc>
      </w:tr>
      <w:tr w:rsidR="000E6C2B">
        <w:tc>
          <w:tcPr>
            <w:tcW w:w="2721" w:type="dxa"/>
            <w:shd w:val="clear" w:color="auto" w:fill="FFFFFF"/>
            <w:noWrap/>
            <w:tcMar>
              <w:top w:w="0" w:type="dxa"/>
              <w:left w:w="0" w:type="dxa"/>
              <w:bottom w:w="0" w:type="dxa"/>
              <w:right w:w="0" w:type="dxa"/>
            </w:tcMar>
            <w:vAlign w:val="center"/>
          </w:tcPr>
          <w:p w:rsidR="000E6C2B" w:rsidRDefault="00000000">
            <w:pPr>
              <w:jc w:val="left"/>
            </w:pPr>
            <w:r>
              <w:t>Ministrs</w:t>
            </w:r>
          </w:p>
        </w:tc>
        <w:tc>
          <w:tcPr>
            <w:tcW w:w="4200" w:type="dxa"/>
            <w:shd w:val="clear" w:color="auto" w:fill="FFFFFF"/>
            <w:noWrap/>
            <w:tcMar>
              <w:top w:w="0" w:type="dxa"/>
              <w:left w:w="0" w:type="dxa"/>
              <w:bottom w:w="0" w:type="dxa"/>
              <w:right w:w="0" w:type="dxa"/>
            </w:tcMar>
            <w:vAlign w:val="center"/>
          </w:tcPr>
          <w:p w:rsidR="000E6C2B" w:rsidRDefault="00000000">
            <w:pPr>
              <w:jc w:val="center"/>
            </w:pPr>
            <w:r>
              <w:rPr>
                <w:sz w:val="24"/>
              </w:rPr>
              <w:t>(paraksts*)</w:t>
            </w:r>
          </w:p>
        </w:tc>
        <w:tc>
          <w:tcPr>
            <w:tcW w:w="2721" w:type="dxa"/>
            <w:shd w:val="clear" w:color="auto" w:fill="FFFFFF"/>
            <w:noWrap/>
            <w:tcMar>
              <w:top w:w="0" w:type="dxa"/>
              <w:left w:w="0" w:type="dxa"/>
              <w:bottom w:w="0" w:type="dxa"/>
              <w:right w:w="0" w:type="dxa"/>
            </w:tcMar>
            <w:vAlign w:val="center"/>
          </w:tcPr>
          <w:p w:rsidR="000E6C2B" w:rsidRDefault="00000000">
            <w:pPr>
              <w:jc w:val="right"/>
            </w:pPr>
            <w:r>
              <w:t>V. Uzvārds</w:t>
            </w:r>
          </w:p>
        </w:tc>
      </w:tr>
    </w:tbl>
    <w:p w:rsidR="000E6C2B" w:rsidRDefault="00000000">
      <w:pPr>
        <w:spacing w:before="800"/>
        <w:ind w:left="705"/>
      </w:pPr>
      <w:r>
        <w:rPr>
          <w:sz w:val="24"/>
        </w:rPr>
        <w:t>* Dokuments ir parakstīts ar drošu elektronisko parakstu</w:t>
      </w:r>
    </w:p>
    <w:sectPr w:rsidR="000E6C2B">
      <w:headerReference w:type="default" r:id="rId7"/>
      <w:footerReference w:type="default" r:id="rId8"/>
      <w:headerReference w:type="first" r:id="rId9"/>
      <w:footerReference w:type="first" r:id="rId10"/>
      <w:pgSz w:w="11908" w:h="16833"/>
      <w:pgMar w:top="1133" w:right="1133" w:bottom="1133"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12542" w:rsidRDefault="00C12542">
      <w:r>
        <w:separator/>
      </w:r>
    </w:p>
  </w:endnote>
  <w:endnote w:type="continuationSeparator" w:id="0">
    <w:p w:rsidR="00C12542" w:rsidRDefault="00C1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6C2B" w:rsidRDefault="00000000">
    <w:pPr>
      <w:jc w:val="right"/>
    </w:pPr>
    <w:r>
      <w:rPr>
        <w:sz w:val="24"/>
        <w:szCs w:val="24"/>
      </w:rPr>
      <w:fldChar w:fldCharType="begin"/>
    </w:r>
    <w:r>
      <w:rPr>
        <w:sz w:val="24"/>
        <w:szCs w:val="24"/>
      </w:rPr>
      <w:instrText>PAGE</w:instrText>
    </w:r>
    <w:r w:rsidR="007C4A11">
      <w:rPr>
        <w:sz w:val="24"/>
        <w:szCs w:val="24"/>
      </w:rPr>
      <w:fldChar w:fldCharType="separate"/>
    </w:r>
    <w:r w:rsidR="007C4A11">
      <w:rPr>
        <w:noProof/>
        <w:sz w:val="24"/>
        <w:szCs w:val="24"/>
      </w:rPr>
      <w:t>2</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12542" w:rsidRDefault="00C12542">
      <w:r>
        <w:separator/>
      </w:r>
    </w:p>
  </w:footnote>
  <w:footnote w:type="continuationSeparator" w:id="0">
    <w:p w:rsidR="00C12542" w:rsidRDefault="00C12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6C2B" w:rsidRDefault="00000000">
    <w:pPr>
      <w:pStyle w:val="Header"/>
      <w:contextualSpacing w:val="0"/>
    </w:pPr>
    <w:r>
      <w:t>Noteikumu projekts 22-TA-2562</w:t>
    </w:r>
    <w:r>
      <w:br/>
      <w:t>Izdrukāts 07.08.2023. 13.23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6C2B" w:rsidRDefault="00000000">
    <w:pPr>
      <w:pStyle w:val="Header"/>
      <w:contextualSpacing w:val="0"/>
    </w:pPr>
    <w:r>
      <w:t>Noteikumu projekts 22-TA-2562</w:t>
    </w:r>
    <w:r>
      <w:br/>
      <w:t>Izdrukāts 07.08.2023. 13.23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92FF9"/>
    <w:multiLevelType w:val="hybridMultilevel"/>
    <w:tmpl w:val="20BE9604"/>
    <w:lvl w:ilvl="0" w:tplc="C3CE570C">
      <w:start w:val="1"/>
      <w:numFmt w:val="bullet"/>
      <w:lvlRestart w:val="0"/>
      <w:lvlText w:val=""/>
      <w:lvlJc w:val="left"/>
      <w:pPr>
        <w:ind w:left="0" w:firstLine="705"/>
      </w:pPr>
      <w:rPr>
        <w:u w:val="none"/>
      </w:rPr>
    </w:lvl>
    <w:lvl w:ilvl="1" w:tplc="D9ECEDB2">
      <w:start w:val="1"/>
      <w:numFmt w:val="bullet"/>
      <w:lvlRestart w:val="0"/>
      <w:lvlText w:val=""/>
      <w:lvlJc w:val="left"/>
      <w:pPr>
        <w:ind w:left="0" w:firstLine="705"/>
      </w:pPr>
      <w:rPr>
        <w:u w:val="none"/>
      </w:rPr>
    </w:lvl>
    <w:lvl w:ilvl="2" w:tplc="53B4A1F6">
      <w:numFmt w:val="decimal"/>
      <w:lvlText w:val=""/>
      <w:lvlJc w:val="left"/>
    </w:lvl>
    <w:lvl w:ilvl="3" w:tplc="0C242E1C">
      <w:numFmt w:val="decimal"/>
      <w:lvlText w:val=""/>
      <w:lvlJc w:val="left"/>
    </w:lvl>
    <w:lvl w:ilvl="4" w:tplc="44586958">
      <w:numFmt w:val="decimal"/>
      <w:lvlText w:val=""/>
      <w:lvlJc w:val="left"/>
    </w:lvl>
    <w:lvl w:ilvl="5" w:tplc="AC023454">
      <w:numFmt w:val="decimal"/>
      <w:lvlText w:val=""/>
      <w:lvlJc w:val="left"/>
    </w:lvl>
    <w:lvl w:ilvl="6" w:tplc="E93C2390">
      <w:numFmt w:val="decimal"/>
      <w:lvlText w:val=""/>
      <w:lvlJc w:val="left"/>
    </w:lvl>
    <w:lvl w:ilvl="7" w:tplc="A95001E8">
      <w:numFmt w:val="decimal"/>
      <w:lvlText w:val=""/>
      <w:lvlJc w:val="left"/>
    </w:lvl>
    <w:lvl w:ilvl="8" w:tplc="5D367762">
      <w:numFmt w:val="decimal"/>
      <w:lvlText w:val=""/>
      <w:lvlJc w:val="left"/>
    </w:lvl>
  </w:abstractNum>
  <w:abstractNum w:abstractNumId="1" w15:restartNumberingAfterBreak="0">
    <w:nsid w:val="137B0E2F"/>
    <w:multiLevelType w:val="hybridMultilevel"/>
    <w:tmpl w:val="964EAA18"/>
    <w:lvl w:ilvl="0" w:tplc="DED4E4E8">
      <w:start w:val="1"/>
      <w:numFmt w:val="bullet"/>
      <w:lvlRestart w:val="0"/>
      <w:lvlText w:val=""/>
      <w:lvlJc w:val="left"/>
      <w:pPr>
        <w:ind w:left="0" w:firstLine="705"/>
      </w:pPr>
      <w:rPr>
        <w:u w:val="none"/>
      </w:rPr>
    </w:lvl>
    <w:lvl w:ilvl="1" w:tplc="4CEECD7E">
      <w:start w:val="1"/>
      <w:numFmt w:val="bullet"/>
      <w:lvlRestart w:val="0"/>
      <w:lvlText w:val=""/>
      <w:lvlJc w:val="left"/>
      <w:pPr>
        <w:ind w:left="0" w:firstLine="705"/>
      </w:pPr>
      <w:rPr>
        <w:u w:val="none"/>
      </w:rPr>
    </w:lvl>
    <w:lvl w:ilvl="2" w:tplc="FA007476">
      <w:numFmt w:val="decimal"/>
      <w:lvlText w:val=""/>
      <w:lvlJc w:val="left"/>
    </w:lvl>
    <w:lvl w:ilvl="3" w:tplc="33B87DB2">
      <w:numFmt w:val="decimal"/>
      <w:lvlText w:val=""/>
      <w:lvlJc w:val="left"/>
    </w:lvl>
    <w:lvl w:ilvl="4" w:tplc="93AA724A">
      <w:numFmt w:val="decimal"/>
      <w:lvlText w:val=""/>
      <w:lvlJc w:val="left"/>
    </w:lvl>
    <w:lvl w:ilvl="5" w:tplc="017C73FE">
      <w:numFmt w:val="decimal"/>
      <w:lvlText w:val=""/>
      <w:lvlJc w:val="left"/>
    </w:lvl>
    <w:lvl w:ilvl="6" w:tplc="72489106">
      <w:numFmt w:val="decimal"/>
      <w:lvlText w:val=""/>
      <w:lvlJc w:val="left"/>
    </w:lvl>
    <w:lvl w:ilvl="7" w:tplc="1C24CFA0">
      <w:numFmt w:val="decimal"/>
      <w:lvlText w:val=""/>
      <w:lvlJc w:val="left"/>
    </w:lvl>
    <w:lvl w:ilvl="8" w:tplc="A79EC9D4">
      <w:numFmt w:val="decimal"/>
      <w:lvlText w:val=""/>
      <w:lvlJc w:val="left"/>
    </w:lvl>
  </w:abstractNum>
  <w:abstractNum w:abstractNumId="2" w15:restartNumberingAfterBreak="0">
    <w:nsid w:val="16E878BA"/>
    <w:multiLevelType w:val="hybridMultilevel"/>
    <w:tmpl w:val="A00A228E"/>
    <w:lvl w:ilvl="0" w:tplc="2BD6342A">
      <w:start w:val="1"/>
      <w:numFmt w:val="bullet"/>
      <w:lvlRestart w:val="0"/>
      <w:lvlText w:val=""/>
      <w:lvlJc w:val="left"/>
      <w:pPr>
        <w:ind w:left="0" w:firstLine="705"/>
      </w:pPr>
      <w:rPr>
        <w:u w:val="none"/>
      </w:rPr>
    </w:lvl>
    <w:lvl w:ilvl="1" w:tplc="A2F4DE3A">
      <w:start w:val="1"/>
      <w:numFmt w:val="bullet"/>
      <w:lvlRestart w:val="0"/>
      <w:lvlText w:val=""/>
      <w:lvlJc w:val="left"/>
      <w:pPr>
        <w:ind w:left="0" w:firstLine="705"/>
      </w:pPr>
      <w:rPr>
        <w:u w:val="none"/>
      </w:rPr>
    </w:lvl>
    <w:lvl w:ilvl="2" w:tplc="1BAE312A">
      <w:start w:val="1"/>
      <w:numFmt w:val="bullet"/>
      <w:lvlRestart w:val="1"/>
      <w:lvlText w:val=""/>
      <w:lvlJc w:val="left"/>
      <w:pPr>
        <w:ind w:left="0" w:firstLine="705"/>
      </w:pPr>
      <w:rPr>
        <w:u w:val="none"/>
      </w:rPr>
    </w:lvl>
    <w:lvl w:ilvl="3" w:tplc="6548E76C">
      <w:numFmt w:val="decimal"/>
      <w:lvlText w:val=""/>
      <w:lvlJc w:val="left"/>
    </w:lvl>
    <w:lvl w:ilvl="4" w:tplc="99249B8A">
      <w:numFmt w:val="decimal"/>
      <w:lvlText w:val=""/>
      <w:lvlJc w:val="left"/>
    </w:lvl>
    <w:lvl w:ilvl="5" w:tplc="81AAC428">
      <w:numFmt w:val="decimal"/>
      <w:lvlText w:val=""/>
      <w:lvlJc w:val="left"/>
    </w:lvl>
    <w:lvl w:ilvl="6" w:tplc="C6C04222">
      <w:numFmt w:val="decimal"/>
      <w:lvlText w:val=""/>
      <w:lvlJc w:val="left"/>
    </w:lvl>
    <w:lvl w:ilvl="7" w:tplc="69EC0E36">
      <w:numFmt w:val="decimal"/>
      <w:lvlText w:val=""/>
      <w:lvlJc w:val="left"/>
    </w:lvl>
    <w:lvl w:ilvl="8" w:tplc="6F7A3E78">
      <w:numFmt w:val="decimal"/>
      <w:lvlText w:val=""/>
      <w:lvlJc w:val="left"/>
    </w:lvl>
  </w:abstractNum>
  <w:abstractNum w:abstractNumId="3" w15:restartNumberingAfterBreak="0">
    <w:nsid w:val="18A932A0"/>
    <w:multiLevelType w:val="hybridMultilevel"/>
    <w:tmpl w:val="AE98AFEA"/>
    <w:lvl w:ilvl="0" w:tplc="33664D92">
      <w:start w:val="1"/>
      <w:numFmt w:val="bullet"/>
      <w:lvlRestart w:val="0"/>
      <w:lvlText w:val=""/>
      <w:lvlJc w:val="left"/>
      <w:pPr>
        <w:ind w:left="0" w:firstLine="705"/>
      </w:pPr>
      <w:rPr>
        <w:u w:val="none"/>
      </w:rPr>
    </w:lvl>
    <w:lvl w:ilvl="1" w:tplc="48348B10">
      <w:numFmt w:val="decimal"/>
      <w:lvlText w:val=""/>
      <w:lvlJc w:val="left"/>
    </w:lvl>
    <w:lvl w:ilvl="2" w:tplc="90FE0C50">
      <w:numFmt w:val="decimal"/>
      <w:lvlText w:val=""/>
      <w:lvlJc w:val="left"/>
    </w:lvl>
    <w:lvl w:ilvl="3" w:tplc="D38E80AC">
      <w:numFmt w:val="decimal"/>
      <w:lvlText w:val=""/>
      <w:lvlJc w:val="left"/>
    </w:lvl>
    <w:lvl w:ilvl="4" w:tplc="A7340E98">
      <w:numFmt w:val="decimal"/>
      <w:lvlText w:val=""/>
      <w:lvlJc w:val="left"/>
    </w:lvl>
    <w:lvl w:ilvl="5" w:tplc="23D634E2">
      <w:numFmt w:val="decimal"/>
      <w:lvlText w:val=""/>
      <w:lvlJc w:val="left"/>
    </w:lvl>
    <w:lvl w:ilvl="6" w:tplc="1FF20A70">
      <w:numFmt w:val="decimal"/>
      <w:lvlText w:val=""/>
      <w:lvlJc w:val="left"/>
    </w:lvl>
    <w:lvl w:ilvl="7" w:tplc="BC407026">
      <w:numFmt w:val="decimal"/>
      <w:lvlText w:val=""/>
      <w:lvlJc w:val="left"/>
    </w:lvl>
    <w:lvl w:ilvl="8" w:tplc="F1060D06">
      <w:numFmt w:val="decimal"/>
      <w:lvlText w:val=""/>
      <w:lvlJc w:val="left"/>
    </w:lvl>
  </w:abstractNum>
  <w:abstractNum w:abstractNumId="4" w15:restartNumberingAfterBreak="0">
    <w:nsid w:val="34EC6F08"/>
    <w:multiLevelType w:val="hybridMultilevel"/>
    <w:tmpl w:val="B5CAB9AE"/>
    <w:lvl w:ilvl="0" w:tplc="DB0E2730">
      <w:start w:val="1"/>
      <w:numFmt w:val="bullet"/>
      <w:lvlRestart w:val="0"/>
      <w:lvlText w:val=""/>
      <w:lvlJc w:val="left"/>
      <w:pPr>
        <w:ind w:left="0" w:firstLine="705"/>
      </w:pPr>
      <w:rPr>
        <w:u w:val="none"/>
      </w:rPr>
    </w:lvl>
    <w:lvl w:ilvl="1" w:tplc="D04EFE7A">
      <w:start w:val="1"/>
      <w:numFmt w:val="bullet"/>
      <w:lvlRestart w:val="0"/>
      <w:lvlText w:val=""/>
      <w:lvlJc w:val="left"/>
      <w:pPr>
        <w:ind w:left="0" w:firstLine="705"/>
      </w:pPr>
      <w:rPr>
        <w:u w:val="none"/>
      </w:rPr>
    </w:lvl>
    <w:lvl w:ilvl="2" w:tplc="3DE849A0">
      <w:start w:val="1"/>
      <w:numFmt w:val="bullet"/>
      <w:lvlRestart w:val="1"/>
      <w:lvlText w:val=""/>
      <w:lvlJc w:val="left"/>
      <w:pPr>
        <w:ind w:left="0" w:firstLine="705"/>
      </w:pPr>
      <w:rPr>
        <w:u w:val="none"/>
      </w:rPr>
    </w:lvl>
    <w:lvl w:ilvl="3" w:tplc="03EA6572">
      <w:numFmt w:val="decimal"/>
      <w:lvlText w:val=""/>
      <w:lvlJc w:val="left"/>
    </w:lvl>
    <w:lvl w:ilvl="4" w:tplc="3D904EB4">
      <w:numFmt w:val="decimal"/>
      <w:lvlText w:val=""/>
      <w:lvlJc w:val="left"/>
    </w:lvl>
    <w:lvl w:ilvl="5" w:tplc="A330DD06">
      <w:numFmt w:val="decimal"/>
      <w:lvlText w:val=""/>
      <w:lvlJc w:val="left"/>
    </w:lvl>
    <w:lvl w:ilvl="6" w:tplc="AE14D222">
      <w:numFmt w:val="decimal"/>
      <w:lvlText w:val=""/>
      <w:lvlJc w:val="left"/>
    </w:lvl>
    <w:lvl w:ilvl="7" w:tplc="09C2CC9A">
      <w:numFmt w:val="decimal"/>
      <w:lvlText w:val=""/>
      <w:lvlJc w:val="left"/>
    </w:lvl>
    <w:lvl w:ilvl="8" w:tplc="C2DE4E8C">
      <w:numFmt w:val="decimal"/>
      <w:lvlText w:val=""/>
      <w:lvlJc w:val="left"/>
    </w:lvl>
  </w:abstractNum>
  <w:abstractNum w:abstractNumId="5" w15:restartNumberingAfterBreak="0">
    <w:nsid w:val="39AE7ACF"/>
    <w:multiLevelType w:val="hybridMultilevel"/>
    <w:tmpl w:val="3CDC1C92"/>
    <w:lvl w:ilvl="0" w:tplc="95E87394">
      <w:start w:val="1"/>
      <w:numFmt w:val="bullet"/>
      <w:lvlRestart w:val="0"/>
      <w:lvlText w:val=""/>
      <w:lvlJc w:val="left"/>
      <w:pPr>
        <w:ind w:left="0" w:firstLine="705"/>
      </w:pPr>
      <w:rPr>
        <w:u w:val="none"/>
      </w:rPr>
    </w:lvl>
    <w:lvl w:ilvl="1" w:tplc="68F624B8">
      <w:start w:val="1"/>
      <w:numFmt w:val="bullet"/>
      <w:lvlRestart w:val="0"/>
      <w:lvlText w:val=""/>
      <w:lvlJc w:val="left"/>
      <w:pPr>
        <w:ind w:left="0" w:firstLine="705"/>
      </w:pPr>
      <w:rPr>
        <w:u w:val="none"/>
      </w:rPr>
    </w:lvl>
    <w:lvl w:ilvl="2" w:tplc="20663EDE">
      <w:numFmt w:val="decimal"/>
      <w:lvlText w:val=""/>
      <w:lvlJc w:val="left"/>
    </w:lvl>
    <w:lvl w:ilvl="3" w:tplc="297AA70E">
      <w:numFmt w:val="decimal"/>
      <w:lvlText w:val=""/>
      <w:lvlJc w:val="left"/>
    </w:lvl>
    <w:lvl w:ilvl="4" w:tplc="4ECAF93C">
      <w:numFmt w:val="decimal"/>
      <w:lvlText w:val=""/>
      <w:lvlJc w:val="left"/>
    </w:lvl>
    <w:lvl w:ilvl="5" w:tplc="0BE2619A">
      <w:numFmt w:val="decimal"/>
      <w:lvlText w:val=""/>
      <w:lvlJc w:val="left"/>
    </w:lvl>
    <w:lvl w:ilvl="6" w:tplc="B628ADEC">
      <w:numFmt w:val="decimal"/>
      <w:lvlText w:val=""/>
      <w:lvlJc w:val="left"/>
    </w:lvl>
    <w:lvl w:ilvl="7" w:tplc="DAB8786C">
      <w:numFmt w:val="decimal"/>
      <w:lvlText w:val=""/>
      <w:lvlJc w:val="left"/>
    </w:lvl>
    <w:lvl w:ilvl="8" w:tplc="4D32021A">
      <w:numFmt w:val="decimal"/>
      <w:lvlText w:val=""/>
      <w:lvlJc w:val="left"/>
    </w:lvl>
  </w:abstractNum>
  <w:abstractNum w:abstractNumId="6" w15:restartNumberingAfterBreak="0">
    <w:nsid w:val="4CC2611C"/>
    <w:multiLevelType w:val="hybridMultilevel"/>
    <w:tmpl w:val="713CAF80"/>
    <w:lvl w:ilvl="0" w:tplc="3912D534">
      <w:start w:val="1"/>
      <w:numFmt w:val="bullet"/>
      <w:lvlRestart w:val="0"/>
      <w:lvlText w:val=""/>
      <w:lvlJc w:val="left"/>
      <w:pPr>
        <w:ind w:left="0" w:firstLine="705"/>
      </w:pPr>
      <w:rPr>
        <w:u w:val="none"/>
      </w:rPr>
    </w:lvl>
    <w:lvl w:ilvl="1" w:tplc="E0584BB0">
      <w:start w:val="1"/>
      <w:numFmt w:val="bullet"/>
      <w:lvlRestart w:val="0"/>
      <w:lvlText w:val=""/>
      <w:lvlJc w:val="left"/>
      <w:pPr>
        <w:ind w:left="0" w:firstLine="705"/>
      </w:pPr>
      <w:rPr>
        <w:u w:val="none"/>
      </w:rPr>
    </w:lvl>
    <w:lvl w:ilvl="2" w:tplc="1EACF670">
      <w:numFmt w:val="decimal"/>
      <w:lvlText w:val=""/>
      <w:lvlJc w:val="left"/>
    </w:lvl>
    <w:lvl w:ilvl="3" w:tplc="B5CE2138">
      <w:numFmt w:val="decimal"/>
      <w:lvlText w:val=""/>
      <w:lvlJc w:val="left"/>
    </w:lvl>
    <w:lvl w:ilvl="4" w:tplc="A52C27A8">
      <w:numFmt w:val="decimal"/>
      <w:lvlText w:val=""/>
      <w:lvlJc w:val="left"/>
    </w:lvl>
    <w:lvl w:ilvl="5" w:tplc="DF92A6CC">
      <w:numFmt w:val="decimal"/>
      <w:lvlText w:val=""/>
      <w:lvlJc w:val="left"/>
    </w:lvl>
    <w:lvl w:ilvl="6" w:tplc="53788BBE">
      <w:numFmt w:val="decimal"/>
      <w:lvlText w:val=""/>
      <w:lvlJc w:val="left"/>
    </w:lvl>
    <w:lvl w:ilvl="7" w:tplc="62B0886A">
      <w:numFmt w:val="decimal"/>
      <w:lvlText w:val=""/>
      <w:lvlJc w:val="left"/>
    </w:lvl>
    <w:lvl w:ilvl="8" w:tplc="B0CE6094">
      <w:numFmt w:val="decimal"/>
      <w:lvlText w:val=""/>
      <w:lvlJc w:val="left"/>
    </w:lvl>
  </w:abstractNum>
  <w:abstractNum w:abstractNumId="7" w15:restartNumberingAfterBreak="0">
    <w:nsid w:val="6E8A60DD"/>
    <w:multiLevelType w:val="hybridMultilevel"/>
    <w:tmpl w:val="7C507C82"/>
    <w:lvl w:ilvl="0" w:tplc="E3C227C4">
      <w:start w:val="1"/>
      <w:numFmt w:val="bullet"/>
      <w:lvlRestart w:val="0"/>
      <w:lvlText w:val=""/>
      <w:lvlJc w:val="left"/>
      <w:pPr>
        <w:ind w:left="0" w:firstLine="705"/>
      </w:pPr>
      <w:rPr>
        <w:u w:val="none"/>
      </w:rPr>
    </w:lvl>
    <w:lvl w:ilvl="1" w:tplc="DB025F96">
      <w:start w:val="1"/>
      <w:numFmt w:val="bullet"/>
      <w:lvlRestart w:val="0"/>
      <w:lvlText w:val=""/>
      <w:lvlJc w:val="left"/>
      <w:pPr>
        <w:ind w:left="0" w:firstLine="705"/>
      </w:pPr>
      <w:rPr>
        <w:u w:val="none"/>
      </w:rPr>
    </w:lvl>
    <w:lvl w:ilvl="2" w:tplc="532C2A88">
      <w:start w:val="1"/>
      <w:numFmt w:val="bullet"/>
      <w:lvlRestart w:val="1"/>
      <w:lvlText w:val=""/>
      <w:lvlJc w:val="left"/>
      <w:pPr>
        <w:ind w:left="0" w:firstLine="705"/>
      </w:pPr>
      <w:rPr>
        <w:u w:val="none"/>
      </w:rPr>
    </w:lvl>
    <w:lvl w:ilvl="3" w:tplc="FB103A12">
      <w:numFmt w:val="decimal"/>
      <w:lvlText w:val=""/>
      <w:lvlJc w:val="left"/>
    </w:lvl>
    <w:lvl w:ilvl="4" w:tplc="57A6F912">
      <w:numFmt w:val="decimal"/>
      <w:lvlText w:val=""/>
      <w:lvlJc w:val="left"/>
    </w:lvl>
    <w:lvl w:ilvl="5" w:tplc="AC62A79E">
      <w:numFmt w:val="decimal"/>
      <w:lvlText w:val=""/>
      <w:lvlJc w:val="left"/>
    </w:lvl>
    <w:lvl w:ilvl="6" w:tplc="00504F96">
      <w:numFmt w:val="decimal"/>
      <w:lvlText w:val=""/>
      <w:lvlJc w:val="left"/>
    </w:lvl>
    <w:lvl w:ilvl="7" w:tplc="8DAEF500">
      <w:numFmt w:val="decimal"/>
      <w:lvlText w:val=""/>
      <w:lvlJc w:val="left"/>
    </w:lvl>
    <w:lvl w:ilvl="8" w:tplc="BF70E304">
      <w:numFmt w:val="decimal"/>
      <w:lvlText w:val=""/>
      <w:lvlJc w:val="left"/>
    </w:lvl>
  </w:abstractNum>
  <w:abstractNum w:abstractNumId="8" w15:restartNumberingAfterBreak="0">
    <w:nsid w:val="7B8450C9"/>
    <w:multiLevelType w:val="hybridMultilevel"/>
    <w:tmpl w:val="E3FCD9C2"/>
    <w:lvl w:ilvl="0" w:tplc="A9AC9E9A">
      <w:start w:val="1"/>
      <w:numFmt w:val="bullet"/>
      <w:lvlRestart w:val="0"/>
      <w:lvlText w:val=""/>
      <w:lvlJc w:val="left"/>
      <w:pPr>
        <w:ind w:left="0" w:firstLine="705"/>
      </w:pPr>
      <w:rPr>
        <w:u w:val="none"/>
      </w:rPr>
    </w:lvl>
    <w:lvl w:ilvl="1" w:tplc="E52A43B2">
      <w:start w:val="1"/>
      <w:numFmt w:val="bullet"/>
      <w:lvlRestart w:val="0"/>
      <w:lvlText w:val=""/>
      <w:lvlJc w:val="left"/>
      <w:pPr>
        <w:ind w:left="0" w:firstLine="705"/>
      </w:pPr>
      <w:rPr>
        <w:u w:val="none"/>
      </w:rPr>
    </w:lvl>
    <w:lvl w:ilvl="2" w:tplc="5A780530">
      <w:numFmt w:val="decimal"/>
      <w:lvlText w:val=""/>
      <w:lvlJc w:val="left"/>
    </w:lvl>
    <w:lvl w:ilvl="3" w:tplc="6608A6C2">
      <w:numFmt w:val="decimal"/>
      <w:lvlText w:val=""/>
      <w:lvlJc w:val="left"/>
    </w:lvl>
    <w:lvl w:ilvl="4" w:tplc="0EDC845A">
      <w:numFmt w:val="decimal"/>
      <w:lvlText w:val=""/>
      <w:lvlJc w:val="left"/>
    </w:lvl>
    <w:lvl w:ilvl="5" w:tplc="D61CA8EC">
      <w:numFmt w:val="decimal"/>
      <w:lvlText w:val=""/>
      <w:lvlJc w:val="left"/>
    </w:lvl>
    <w:lvl w:ilvl="6" w:tplc="CF521D2A">
      <w:numFmt w:val="decimal"/>
      <w:lvlText w:val=""/>
      <w:lvlJc w:val="left"/>
    </w:lvl>
    <w:lvl w:ilvl="7" w:tplc="16DE9E80">
      <w:numFmt w:val="decimal"/>
      <w:lvlText w:val=""/>
      <w:lvlJc w:val="left"/>
    </w:lvl>
    <w:lvl w:ilvl="8" w:tplc="3976D252">
      <w:numFmt w:val="decimal"/>
      <w:lvlText w:val=""/>
      <w:lvlJc w:val="left"/>
    </w:lvl>
  </w:abstractNum>
  <w:num w:numId="1" w16cid:durableId="2084066234">
    <w:abstractNumId w:val="0"/>
  </w:num>
  <w:num w:numId="2" w16cid:durableId="894269999">
    <w:abstractNumId w:val="8"/>
  </w:num>
  <w:num w:numId="3" w16cid:durableId="1109197987">
    <w:abstractNumId w:val="6"/>
  </w:num>
  <w:num w:numId="4" w16cid:durableId="1471938976">
    <w:abstractNumId w:val="1"/>
  </w:num>
  <w:num w:numId="5" w16cid:durableId="670065334">
    <w:abstractNumId w:val="4"/>
  </w:num>
  <w:num w:numId="6" w16cid:durableId="648824721">
    <w:abstractNumId w:val="2"/>
  </w:num>
  <w:num w:numId="7" w16cid:durableId="1430466318">
    <w:abstractNumId w:val="7"/>
  </w:num>
  <w:num w:numId="8" w16cid:durableId="787162714">
    <w:abstractNumId w:val="3"/>
  </w:num>
  <w:num w:numId="9" w16cid:durableId="86123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C2B"/>
    <w:rsid w:val="000E6C2B"/>
    <w:rsid w:val="007C4A11"/>
    <w:rsid w:val="00C125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A773C6-0854-4AF0-B11B-696A5CB5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333333"/>
        <w:sz w:val="28"/>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rFonts w:ascii="Arial" w:eastAsia="Arial" w:hAnsi="Arial" w:cs="Arial"/>
      <w:b/>
      <w:sz w:val="26"/>
    </w:rPr>
  </w:style>
  <w:style w:type="paragraph" w:styleId="Heading3">
    <w:name w:val="heading 3"/>
    <w:basedOn w:val="Normal"/>
    <w:next w:val="Normal"/>
    <w:uiPriority w:val="9"/>
    <w:semiHidden/>
    <w:unhideWhenUsed/>
    <w:qFormat/>
    <w:pPr>
      <w:spacing w:before="120" w:after="160"/>
      <w:contextualSpacing/>
      <w:outlineLvl w:val="2"/>
    </w:pPr>
    <w:rPr>
      <w:rFonts w:ascii="Arial" w:eastAsia="Arial" w:hAnsi="Arial" w:cs="Arial"/>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rFonts w:ascii="Arial" w:eastAsia="Arial" w:hAnsi="Arial" w:cs="Arial"/>
      <w:b/>
      <w:sz w:val="22"/>
    </w:rPr>
  </w:style>
  <w:style w:type="paragraph" w:styleId="Heading6">
    <w:name w:val="heading 6"/>
    <w:basedOn w:val="Normal"/>
    <w:next w:val="Normal"/>
    <w:uiPriority w:val="9"/>
    <w:semiHidden/>
    <w:unhideWhenUsed/>
    <w:qFormat/>
    <w:pPr>
      <w:spacing w:before="120" w:after="120"/>
      <w:contextualSpacing/>
      <w:outlineLvl w:val="5"/>
    </w:pPr>
    <w:rPr>
      <w:rFonts w:ascii="Arial" w:eastAsia="Arial" w:hAnsi="Arial" w:cs="Arial"/>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rFonts w:ascii="Arial" w:eastAsia="Arial" w:hAnsi="Arial" w:cs="Arial"/>
    </w:rPr>
  </w:style>
  <w:style w:type="paragraph" w:customStyle="1" w:styleId="paragraph">
    <w:name w:val="paragraph"/>
    <w:basedOn w:val="Normal"/>
    <w:next w:val="Normal"/>
    <w:pPr>
      <w:contextualSpacing/>
    </w:pPr>
  </w:style>
  <w:style w:type="paragraph" w:customStyle="1" w:styleId="paragraphheader">
    <w:name w:val="paragraph_header"/>
    <w:basedOn w:val="Normal"/>
    <w:next w:val="Normal"/>
    <w:pPr>
      <w:spacing w:before="280" w:after="280"/>
      <w:contextualSpacing/>
    </w:pPr>
  </w:style>
  <w:style w:type="paragraph" w:styleId="Header">
    <w:name w:val="header"/>
    <w:basedOn w:val="Normal"/>
    <w:next w:val="Normal"/>
    <w:pPr>
      <w:spacing w:after="280"/>
      <w:contextualSpacing/>
      <w:jc w:val="right"/>
    </w:pPr>
    <w:rPr>
      <w:sz w:val="24"/>
    </w:rPr>
  </w:style>
  <w:style w:type="paragraph" w:customStyle="1" w:styleId="signeddocumentparagraph">
    <w:name w:val="signed_document_paragraph"/>
    <w:basedOn w:val="Normal"/>
    <w:next w:val="Normal"/>
    <w:pPr>
      <w:contextualSpacing/>
      <w:jc w:val="right"/>
    </w:pPr>
    <w:rPr>
      <w:sz w:val="24"/>
    </w:rPr>
  </w:style>
  <w:style w:type="paragraph" w:customStyle="1" w:styleId="boldparagraphheader">
    <w:name w:val="bold_paragraph_header"/>
    <w:basedOn w:val="Normal"/>
    <w:next w:val="Normal"/>
    <w:pPr>
      <w:contextualSpacing/>
      <w:jc w:val="center"/>
    </w:pPr>
    <w:rPr>
      <w:b/>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20867</Words>
  <Characters>11895</Characters>
  <Application>Microsoft Office Word</Application>
  <DocSecurity>0</DocSecurity>
  <Lines>99</Lines>
  <Paragraphs>65</Paragraphs>
  <ScaleCrop>false</ScaleCrop>
  <Company/>
  <LinksUpToDate>false</LinksUpToDate>
  <CharactersWithSpaces>32697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noteikumu_projekts_22-TA-2562.docx</dc:title>
  <dc:creator>Indra Vilde</dc:creator>
  <cp:lastModifiedBy>Indra Vilde</cp:lastModifiedBy>
  <cp:revision>2</cp:revision>
  <dcterms:created xsi:type="dcterms:W3CDTF">2023-08-07T11:29:00Z</dcterms:created>
  <dcterms:modified xsi:type="dcterms:W3CDTF">2023-08-07T11:29:00Z</dcterms:modified>
</cp:coreProperties>
</file>