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1587" w14:textId="4AB6F13C" w:rsidR="003A4616" w:rsidRPr="00A819EA" w:rsidRDefault="003A4616" w:rsidP="003A4616">
      <w:pPr>
        <w:pStyle w:val="Standard"/>
        <w:jc w:val="center"/>
        <w:rPr>
          <w:rFonts w:cs="Times New Roman"/>
          <w:b/>
          <w:iCs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2022</w:t>
      </w:r>
      <w:r w:rsidRPr="00A819EA">
        <w:rPr>
          <w:rFonts w:cs="Times New Roman"/>
          <w:b/>
          <w:color w:val="000000" w:themeColor="text1"/>
          <w:sz w:val="28"/>
          <w:szCs w:val="28"/>
        </w:rPr>
        <w:t>. gada</w:t>
      </w:r>
      <w:r w:rsidRPr="00A819E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19EA">
        <w:rPr>
          <w:rFonts w:cs="Times New Roman"/>
          <w:b/>
          <w:i/>
          <w:color w:val="000000" w:themeColor="text1"/>
          <w:sz w:val="28"/>
          <w:szCs w:val="28"/>
        </w:rPr>
        <w:t>acquis</w:t>
      </w:r>
      <w:proofErr w:type="spellEnd"/>
      <w:r w:rsidRPr="00A819EA">
        <w:rPr>
          <w:rFonts w:cs="Times New Roman"/>
          <w:b/>
          <w:iCs/>
          <w:color w:val="000000" w:themeColor="text1"/>
          <w:sz w:val="28"/>
          <w:szCs w:val="28"/>
        </w:rPr>
        <w:t xml:space="preserve"> transporta un elektronisko sakaru jomā</w:t>
      </w:r>
    </w:p>
    <w:p w14:paraId="30C24A3C" w14:textId="77777777" w:rsidR="00A24EB1" w:rsidRPr="00C85F2C" w:rsidRDefault="00A24EB1" w:rsidP="00C85F2C">
      <w:pPr>
        <w:pStyle w:val="Standard"/>
        <w:jc w:val="both"/>
        <w:rPr>
          <w:rFonts w:cs="Times New Roman"/>
          <w:color w:val="000000" w:themeColor="text1"/>
        </w:rPr>
      </w:pPr>
    </w:p>
    <w:tbl>
      <w:tblPr>
        <w:tblW w:w="13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082"/>
        <w:gridCol w:w="5148"/>
        <w:gridCol w:w="3798"/>
      </w:tblGrid>
      <w:tr w:rsidR="00CD5B46" w:rsidRPr="00CD5B46" w14:paraId="2B6CEA93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BD3C" w14:textId="77777777" w:rsidR="00A24EB1" w:rsidRPr="00CD5B46" w:rsidRDefault="00A24EB1" w:rsidP="00C85F2C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b/>
                <w:color w:val="000000" w:themeColor="text1"/>
              </w:rPr>
              <w:t>Publicēšanas datums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792F" w14:textId="77777777" w:rsidR="00A24EB1" w:rsidRPr="00CD5B46" w:rsidRDefault="00A24EB1" w:rsidP="00C85F2C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b/>
                <w:color w:val="000000" w:themeColor="text1"/>
              </w:rPr>
              <w:t>Akta CELEX Nr.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BBC1" w14:textId="77777777" w:rsidR="00A24EB1" w:rsidRPr="00CD5B46" w:rsidRDefault="00A24EB1" w:rsidP="00C85F2C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b/>
                <w:color w:val="000000" w:themeColor="text1"/>
              </w:rPr>
              <w:t>Nosaukums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BBBC" w14:textId="77777777" w:rsidR="00A24EB1" w:rsidRPr="00CD5B46" w:rsidRDefault="00A24EB1" w:rsidP="00C85F2C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b/>
                <w:color w:val="000000" w:themeColor="text1"/>
              </w:rPr>
              <w:t>Elektroniskā saite</w:t>
            </w:r>
          </w:p>
        </w:tc>
      </w:tr>
      <w:tr w:rsidR="00CD5B46" w:rsidRPr="00CD5B46" w14:paraId="01902FBD" w14:textId="77777777" w:rsidTr="00FE7FB2">
        <w:trPr>
          <w:trHeight w:val="1769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C3A0" w14:textId="77777777" w:rsidR="00A24EB1" w:rsidRPr="00CD5B46" w:rsidRDefault="00A24EB1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36B089C6" w14:textId="41416E2B" w:rsidR="00A24EB1" w:rsidRPr="00CD5B46" w:rsidRDefault="00A24EB1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</w:t>
            </w:r>
            <w:r w:rsidR="007749D0" w:rsidRPr="00CD5B46">
              <w:rPr>
                <w:rFonts w:cs="Times New Roman"/>
                <w:color w:val="000000" w:themeColor="text1"/>
              </w:rPr>
              <w:t>1 sējums</w:t>
            </w:r>
            <w:r w:rsidR="007749D0" w:rsidRPr="00CD5B46">
              <w:rPr>
                <w:rFonts w:cs="Times New Roman"/>
                <w:color w:val="000000" w:themeColor="text1"/>
              </w:rPr>
              <w:br/>
              <w:t>2022</w:t>
            </w:r>
            <w:r w:rsidR="002F7C08" w:rsidRPr="00CD5B46">
              <w:rPr>
                <w:rFonts w:cs="Times New Roman"/>
                <w:color w:val="000000" w:themeColor="text1"/>
              </w:rPr>
              <w:t xml:space="preserve">. gada </w:t>
            </w:r>
            <w:r w:rsidR="007749D0" w:rsidRPr="00CD5B46">
              <w:rPr>
                <w:rFonts w:cs="Times New Roman"/>
                <w:color w:val="000000" w:themeColor="text1"/>
              </w:rPr>
              <w:t>5</w:t>
            </w:r>
            <w:r w:rsidR="004D605B" w:rsidRPr="00CD5B46">
              <w:rPr>
                <w:rFonts w:cs="Times New Roman"/>
                <w:color w:val="000000" w:themeColor="text1"/>
              </w:rPr>
              <w:t xml:space="preserve">. </w:t>
            </w:r>
            <w:r w:rsidR="007749D0" w:rsidRPr="00CD5B46">
              <w:rPr>
                <w:rFonts w:cs="Times New Roman"/>
                <w:color w:val="000000" w:themeColor="text1"/>
              </w:rPr>
              <w:t>janvāris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30B2" w14:textId="5DCE32A6" w:rsidR="00A24EB1" w:rsidRPr="00CD5B46" w:rsidRDefault="004D605B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</w:t>
            </w:r>
            <w:r w:rsidR="007749D0" w:rsidRPr="00CD5B46">
              <w:rPr>
                <w:rFonts w:cs="Times New Roman"/>
                <w:color w:val="000000" w:themeColor="text1"/>
              </w:rPr>
              <w:t>2R0003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D81E" w14:textId="758F3950" w:rsidR="00A24EB1" w:rsidRPr="00CD5B46" w:rsidRDefault="003B7FA5" w:rsidP="00FE7FB2">
            <w:pPr>
              <w:jc w:val="both"/>
              <w:rPr>
                <w:rFonts w:eastAsia="Times New Roman"/>
                <w:color w:val="000000" w:themeColor="text1"/>
                <w:lang w:val="lv-LV"/>
              </w:rPr>
            </w:pPr>
            <w:r w:rsidRPr="00CD5B46">
              <w:rPr>
                <w:rFonts w:eastAsia="Times New Roman"/>
                <w:color w:val="000000" w:themeColor="text1"/>
                <w:shd w:val="clear" w:color="auto" w:fill="FFFFFF"/>
                <w:lang w:val="lv-LV"/>
              </w:rPr>
              <w:t>Komisijas Īstenošanas regula (ES) 2022/3 (2022. gada 4. janvāris), ar kuru labo Īstenošanas regulas (ES) 2015/1018, ar ko nosaka sarakstu, kurā klasificēti atgadījumi civilajā aviācijā, par kuriem obligāti jāziņo saskaņā ar Eiropas Parlamenta un Padomes Regulu (ES) Nr. 376/2014, II pielikuma dažu valodu versijas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E5F1" w14:textId="4FA4F7BE" w:rsidR="00A24EB1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7" w:history="1">
              <w:r w:rsidR="007749D0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https://eur-lex.europa.eu/legal-content/LV/TXT/?uri=uriserv%3AOJ.L_.2022.001.01.0003.01.LAV&amp;toc=OJ%3AL%3A2022%3A001%3ATOC</w:t>
              </w:r>
            </w:hyperlink>
            <w:r w:rsidR="007749D0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4C61EB17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C3DB" w14:textId="77777777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2D13D5CB" w14:textId="0DDE8818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7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12. janvāris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8889" w14:textId="2D17CAE6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32022R0030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EE06" w14:textId="2E1F4701" w:rsidR="006715BC" w:rsidRPr="00CD5B46" w:rsidRDefault="006715BC" w:rsidP="00FE7FB2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  <w:lang w:val="lv-LV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Deleģētā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2022/30 (2021.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29. 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oktobris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kas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papildina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Direktīvu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2014/53/ES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minētās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direktīvas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3. 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 3.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punkta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pirmās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daļas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d), e) un f)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punktā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norādīto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pamatprasību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piemērošanu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3891" w14:textId="21CD7253" w:rsidR="006715BC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8" w:history="1">
              <w:r w:rsidR="006715BC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https://eur-lex.europa.eu/legal-content/LV/TXT/?uri=uriserv%3AOJ.L_.2022.007.01.0006.01.LAV&amp;toc=OJ%3AL%3A2022%3A007%3ATOC</w:t>
              </w:r>
            </w:hyperlink>
            <w:r w:rsidR="006715BC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C6B557E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BB36" w14:textId="77777777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5A2F1198" w14:textId="5CB2975F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13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20. janvāris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DE2B" w14:textId="77777777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EB52" w14:textId="5B217B3F" w:rsidR="006715BC" w:rsidRPr="00CD5B46" w:rsidRDefault="006715BC" w:rsidP="00FE7FB2">
            <w:pPr>
              <w:jc w:val="both"/>
              <w:rPr>
                <w:rFonts w:eastAsia="Times New Roman"/>
                <w:color w:val="000000" w:themeColor="text1"/>
                <w:lang w:val="lv-LV"/>
              </w:rPr>
            </w:pPr>
            <w:r w:rsidRPr="00CD5B46">
              <w:rPr>
                <w:rFonts w:eastAsia="Times New Roman"/>
                <w:color w:val="000000" w:themeColor="text1"/>
                <w:shd w:val="clear" w:color="auto" w:fill="FFFFFF"/>
                <w:lang w:val="lv-LV"/>
              </w:rPr>
              <w:t>ANO Noteikumi Nr. 26 – Vienoti noteikumi par transportlīdzekļu apstiprināšanu attiecībā uz to ārējiem izvirzījumiem</w:t>
            </w:r>
            <w:r w:rsidRPr="00CD5B46">
              <w:rPr>
                <w:rStyle w:val="apple-converted-space"/>
                <w:rFonts w:eastAsia="Times New Roman"/>
                <w:color w:val="000000" w:themeColor="text1"/>
                <w:shd w:val="clear" w:color="auto" w:fill="FFFFFF"/>
                <w:lang w:val="lv-LV"/>
              </w:rPr>
              <w:t> 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5826" w14:textId="5A3B16E8" w:rsidR="006715BC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9" w:history="1">
              <w:r w:rsidR="006715BC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https://eur-lex.europa.eu/legal-content/LV/TXT/?uri=uriserv%3AOJ.L_.2022.013.01.0051.01.LAV&amp;toc=OJ%3AL%3A2022%3A013%3ATOC</w:t>
              </w:r>
            </w:hyperlink>
            <w:r w:rsidR="006715BC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733D74BB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37D6" w14:textId="77777777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5092A1CD" w14:textId="767A6E2D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17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26. janvāris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13F6" w14:textId="796A22D2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32022R0096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79B8" w14:textId="1CC8D2A4" w:rsidR="006715BC" w:rsidRPr="00CD5B46" w:rsidRDefault="006715BC" w:rsidP="00FE7FB2">
            <w:pPr>
              <w:jc w:val="both"/>
              <w:rPr>
                <w:rFonts w:eastAsia="Times New Roman"/>
                <w:color w:val="000000" w:themeColor="text1"/>
                <w:lang w:val="lv-LV"/>
              </w:rPr>
            </w:pPr>
            <w:r w:rsidRPr="00CD5B46">
              <w:rPr>
                <w:rFonts w:eastAsia="Times New Roman"/>
                <w:color w:val="000000" w:themeColor="text1"/>
                <w:shd w:val="clear" w:color="auto" w:fill="FFFFFF"/>
                <w:lang w:val="lv-LV"/>
              </w:rPr>
              <w:t>Komisijas Īstenošanas regula (ES) 2022/96 (2022. gada 25. janvāris), ar ko groza Īstenošanas regulu (ES) 2019/1859, ar ko paredz noteikumus Eiropas Parlamenta un Padomes Regulas (ES) 2019/1242 10. panta piemērošanai attiecībā uz konkrētu datu vākšanu</w:t>
            </w:r>
            <w:r w:rsidRPr="00CD5B46">
              <w:rPr>
                <w:rStyle w:val="apple-converted-space"/>
                <w:rFonts w:eastAsia="Times New Roman"/>
                <w:color w:val="000000" w:themeColor="text1"/>
                <w:shd w:val="clear" w:color="auto" w:fill="FFFFFF"/>
                <w:lang w:val="lv-LV"/>
              </w:rPr>
              <w:t> 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247E9" w14:textId="1CE1E23D" w:rsidR="006715BC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0" w:history="1">
              <w:r w:rsidR="006715BC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https://eur-lex.europa.eu/legal-content/LV/TXT/?uri=uriserv%3AOJ.L_.2022.017.01.0001.01.LAV&amp;toc=OJ%3AL%3A2022%3A017%3ATOC</w:t>
              </w:r>
            </w:hyperlink>
            <w:r w:rsidR="006715BC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51B1DD67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C3FA" w14:textId="77777777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Eiropas Savienības Oficiālais Vēstnesis</w:t>
            </w:r>
          </w:p>
          <w:p w14:paraId="17B427E4" w14:textId="095E69A0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19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28. janvāris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1657" w14:textId="77777777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F082" w14:textId="203C24E9" w:rsidR="006715BC" w:rsidRPr="00CD5B46" w:rsidRDefault="006715BC" w:rsidP="00FE7FB2">
            <w:pPr>
              <w:jc w:val="both"/>
              <w:rPr>
                <w:rFonts w:eastAsia="Times New Roman"/>
                <w:color w:val="000000" w:themeColor="text1"/>
                <w:lang w:val="lv-LV"/>
              </w:rPr>
            </w:pPr>
            <w:r w:rsidRPr="00CD5B46">
              <w:rPr>
                <w:rFonts w:eastAsia="Times New Roman"/>
                <w:color w:val="000000" w:themeColor="text1"/>
                <w:shd w:val="clear" w:color="auto" w:fill="FFFFFF"/>
                <w:lang w:val="lv-LV"/>
              </w:rPr>
              <w:t>Eiropas Savienības un Šveices Apvienotās gaisa transporta komitejas, kas izveidota saskaņā ar Nolīgumu starp Eiropas Kopienu un Šveices Konfederāciju par gaisa transportu, Lēmums Nr. 2/2021 (2021. gada 8. decembris), ar ko aizstāj pielikumu Nolīgumam starp Eiropas Kopienu un Šveices Konfederāciju par gaisa transportu</w:t>
            </w:r>
            <w:r w:rsidRPr="00CD5B46">
              <w:rPr>
                <w:rStyle w:val="apple-converted-space"/>
                <w:rFonts w:eastAsia="Times New Roman"/>
                <w:color w:val="000000" w:themeColor="text1"/>
                <w:shd w:val="clear" w:color="auto" w:fill="FFFFFF"/>
                <w:lang w:val="lv-LV"/>
              </w:rPr>
              <w:t> 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6A17" w14:textId="6603520C" w:rsidR="006715BC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1" w:history="1">
              <w:r w:rsidR="006715BC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https://eur-lex.europa.eu/legal-content/LV/TXT/?uri=uriserv%3AOJ.L_.2022.019.01.0084.01.LAV&amp;toc=OJ%3AL%3A2022%3A019%3ATOC</w:t>
              </w:r>
            </w:hyperlink>
            <w:r w:rsidR="006715BC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60B9650A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8019" w14:textId="77777777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2F87ABBC" w14:textId="7E974E98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20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31. janvāris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13AF" w14:textId="77777777" w:rsidR="006715BC" w:rsidRPr="00CD5B46" w:rsidRDefault="006715BC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BF86" w14:textId="71C732EA" w:rsidR="006715BC" w:rsidRPr="00CD5B46" w:rsidRDefault="006715BC" w:rsidP="00FE7FB2">
            <w:pPr>
              <w:jc w:val="both"/>
              <w:rPr>
                <w:rFonts w:eastAsia="Times New Roman"/>
                <w:color w:val="000000" w:themeColor="text1"/>
                <w:lang w:val="lv-LV"/>
              </w:rPr>
            </w:pPr>
            <w:r w:rsidRPr="00CD5B46">
              <w:rPr>
                <w:rFonts w:eastAsia="Times New Roman"/>
                <w:color w:val="000000" w:themeColor="text1"/>
                <w:shd w:val="clear" w:color="auto" w:fill="FFFFFF"/>
                <w:lang w:val="lv-LV"/>
              </w:rPr>
              <w:t>Padomes Lēmums (ES) 2022/124 (2022. gada 25. janvāris) par to, lai Eiropas Savienības vārdā noslēgtu Protokolu, ar ko groza Gaisa transporta nolīgumu starp Amerikas Savienotajām Valstīm un Eiropas Kopienu un tās dalībvalstīm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2BD5" w14:textId="2BB10EF5" w:rsidR="006715BC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2" w:history="1">
              <w:r w:rsidR="006715BC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https://eur-lex.europa.eu/legal-content/LV/TXT/?uri=uriserv%3AOJ.L_.2022.020.01.0038.01.LAV&amp;toc=OJ%3AL%3A2022%3A020%3ATOC</w:t>
              </w:r>
            </w:hyperlink>
            <w:r w:rsidR="006715BC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306678B3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8489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3B3F9EB1" w14:textId="684B1E29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24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3.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CB76" w14:textId="24D0F30C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32021D0488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3B92" w14:textId="7F08D944" w:rsidR="00432E35" w:rsidRPr="00CD5B46" w:rsidRDefault="00432E35" w:rsidP="00FE7FB2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  <w:lang w:val="lv-LV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Labojums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2021/488 (2021.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22. marts),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2020/174 un (ES) 2020/1167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apstiprinātu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inovatīvu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tehnoloģiju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izmantošanu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dažos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vieglajos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pasažieru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automobiļos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vieglajos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komerciālajos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transportlīdzekļos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kas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spēj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darboties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sašķidrināto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naftas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gāzi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saspiesto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dabasgāzi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E85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160" w14:textId="1183F19A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3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https://eur-lex.europa.eu/legal-content/LV/TXT/?uri=uriserv%3AOJ.L_.2022.024.01.0138.01.LAV&amp;toc=OJ%3AL%3A2022%3A024%3ATOC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03ADD254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8DB3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505AF924" w14:textId="18CAD3D0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27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8.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B21E" w14:textId="382C867D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32022R01663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1326" w14:textId="1F303E88" w:rsidR="00432E35" w:rsidRPr="00CD5B46" w:rsidRDefault="00432E35" w:rsidP="00FE7FB2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2022/163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7. 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nosaka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noteikumus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2018/858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piemērošanu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transportlīdzekļu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sistēmu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sastāvdaļu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atsevišķu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tehnisku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vienību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tirgus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uzraudzības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funkcionālajām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prasībām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6203" w14:textId="18DBA812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4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https://eur-lex.europa.eu/legal-content/LV/TXT/?uri=uriserv%3AOJ.L_.2022.027.01.0001.01.LAV&amp;toc=OJ%3AL%3A2022%3A027%3ATOC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7FA1B8B2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889C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Eiropas Savienības Oficiālais Vēstnesis</w:t>
            </w:r>
          </w:p>
          <w:p w14:paraId="14524FC5" w14:textId="3F80C3EE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30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11.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E380" w14:textId="49E953A8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32022R0184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8269" w14:textId="173B37D7" w:rsidR="00432E35" w:rsidRPr="00CD5B46" w:rsidRDefault="00432E35" w:rsidP="00FE7FB2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Deleģētā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2022/184 (2021.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novembris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Direktīvas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2017/2397 IV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pielikumu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D8F9" w14:textId="55D9E47B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5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https://eur-lex.europa.eu/legal-content/LV/TXT/?uri=uriserv%3AOJ.L_.2022.030.01.0003.01.LAV&amp;toc=OJ%3AL%3A2022%3A030%3ATOC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BE319A4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68DD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008287A5" w14:textId="37D2E0A5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31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14.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7858" w14:textId="3000E53F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32022R0195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92AD" w14:textId="2D676A6B" w:rsidR="00432E35" w:rsidRPr="00CD5B46" w:rsidRDefault="00432E35" w:rsidP="00FE7FB2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2022/195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2020/683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grozījumiem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labojumiem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kas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informācijas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dokumentu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transportlīdzekļa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apstiprinājuma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sertifikātiem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testa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rezultātu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lapu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atbilstības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sertifikātiem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papīra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formā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B97F" w14:textId="736A5E1D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6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https://eur-lex.europa.eu/legal-content/LV/TXT/?uri=uriserv%3AOJ.L_.2022.031.01.0027.01.LAV&amp;toc=OJ%3AL%3A2022%3A031%3ATOC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59C6615E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4245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25F67A23" w14:textId="480512DA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33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15.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5F29" w14:textId="05B12178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32022R0203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EEA" w14:textId="775DBE20" w:rsidR="00432E35" w:rsidRPr="00CD5B46" w:rsidRDefault="00432E35" w:rsidP="00FE7FB2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color w:val="000000" w:themeColor="text1"/>
              </w:rPr>
              <w:t>Komisijas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Īstenošanas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regula</w:t>
            </w:r>
            <w:proofErr w:type="spellEnd"/>
            <w:r w:rsidRPr="00CD5B46">
              <w:rPr>
                <w:color w:val="000000" w:themeColor="text1"/>
              </w:rPr>
              <w:t xml:space="preserve"> (ES) 2022/203 (2022. </w:t>
            </w:r>
            <w:proofErr w:type="spellStart"/>
            <w:r w:rsidRPr="00CD5B46">
              <w:rPr>
                <w:color w:val="000000" w:themeColor="text1"/>
              </w:rPr>
              <w:t>gada</w:t>
            </w:r>
            <w:proofErr w:type="spellEnd"/>
            <w:r w:rsidRPr="00CD5B46">
              <w:rPr>
                <w:color w:val="000000" w:themeColor="text1"/>
              </w:rPr>
              <w:t xml:space="preserve"> 14. </w:t>
            </w:r>
            <w:proofErr w:type="spellStart"/>
            <w:r w:rsidRPr="00CD5B46">
              <w:rPr>
                <w:color w:val="000000" w:themeColor="text1"/>
              </w:rPr>
              <w:t>februāris</w:t>
            </w:r>
            <w:proofErr w:type="spellEnd"/>
            <w:r w:rsidRPr="00CD5B46">
              <w:rPr>
                <w:color w:val="000000" w:themeColor="text1"/>
              </w:rPr>
              <w:t xml:space="preserve">), </w:t>
            </w:r>
            <w:proofErr w:type="spellStart"/>
            <w:r w:rsidRPr="00CD5B46">
              <w:rPr>
                <w:color w:val="000000" w:themeColor="text1"/>
              </w:rPr>
              <w:t>ar</w:t>
            </w:r>
            <w:proofErr w:type="spellEnd"/>
            <w:r w:rsidRPr="00CD5B46">
              <w:rPr>
                <w:color w:val="000000" w:themeColor="text1"/>
              </w:rPr>
              <w:t xml:space="preserve"> ko </w:t>
            </w:r>
            <w:proofErr w:type="spellStart"/>
            <w:r w:rsidRPr="00CD5B46">
              <w:rPr>
                <w:color w:val="000000" w:themeColor="text1"/>
              </w:rPr>
              <w:t>Regulu</w:t>
            </w:r>
            <w:proofErr w:type="spellEnd"/>
            <w:r w:rsidRPr="00CD5B46">
              <w:rPr>
                <w:color w:val="000000" w:themeColor="text1"/>
              </w:rPr>
              <w:t xml:space="preserve"> (ES) Nr. 748/2012 </w:t>
            </w:r>
            <w:proofErr w:type="spellStart"/>
            <w:r w:rsidRPr="00CD5B46">
              <w:rPr>
                <w:color w:val="000000" w:themeColor="text1"/>
              </w:rPr>
              <w:t>groza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attiecībā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uz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pārvaldības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sistēmām</w:t>
            </w:r>
            <w:proofErr w:type="spellEnd"/>
            <w:r w:rsidRPr="00CD5B46">
              <w:rPr>
                <w:color w:val="000000" w:themeColor="text1"/>
              </w:rPr>
              <w:t xml:space="preserve"> un </w:t>
            </w:r>
            <w:proofErr w:type="spellStart"/>
            <w:r w:rsidRPr="00CD5B46">
              <w:rPr>
                <w:color w:val="000000" w:themeColor="text1"/>
              </w:rPr>
              <w:t>atgadījumu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ziņošanas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sistēmām</w:t>
            </w:r>
            <w:proofErr w:type="spellEnd"/>
            <w:r w:rsidRPr="00CD5B46">
              <w:rPr>
                <w:color w:val="000000" w:themeColor="text1"/>
              </w:rPr>
              <w:t xml:space="preserve">, kas </w:t>
            </w:r>
            <w:proofErr w:type="spellStart"/>
            <w:r w:rsidRPr="00CD5B46">
              <w:rPr>
                <w:color w:val="000000" w:themeColor="text1"/>
              </w:rPr>
              <w:t>jāizveido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kompetentajām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iestādēm</w:t>
            </w:r>
            <w:proofErr w:type="spellEnd"/>
            <w:r w:rsidRPr="00CD5B46">
              <w:rPr>
                <w:color w:val="000000" w:themeColor="text1"/>
              </w:rPr>
              <w:t xml:space="preserve">, un </w:t>
            </w:r>
            <w:proofErr w:type="spellStart"/>
            <w:r w:rsidRPr="00CD5B46">
              <w:rPr>
                <w:color w:val="000000" w:themeColor="text1"/>
              </w:rPr>
              <w:t>ar</w:t>
            </w:r>
            <w:proofErr w:type="spellEnd"/>
            <w:r w:rsidRPr="00CD5B46">
              <w:rPr>
                <w:color w:val="000000" w:themeColor="text1"/>
              </w:rPr>
              <w:t xml:space="preserve"> ko </w:t>
            </w:r>
            <w:proofErr w:type="spellStart"/>
            <w:r w:rsidRPr="00CD5B46">
              <w:rPr>
                <w:color w:val="000000" w:themeColor="text1"/>
              </w:rPr>
              <w:t>Regulu</w:t>
            </w:r>
            <w:proofErr w:type="spellEnd"/>
            <w:r w:rsidRPr="00CD5B46">
              <w:rPr>
                <w:color w:val="000000" w:themeColor="text1"/>
              </w:rPr>
              <w:t xml:space="preserve"> (ES) Nr. 748/2012 </w:t>
            </w:r>
            <w:proofErr w:type="spellStart"/>
            <w:r w:rsidRPr="00CD5B46">
              <w:rPr>
                <w:color w:val="000000" w:themeColor="text1"/>
              </w:rPr>
              <w:t>labo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attiecībā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uz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lidojumderīguma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pārbaudes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sertifikātu</w:t>
            </w:r>
            <w:proofErr w:type="spellEnd"/>
            <w:r w:rsidRPr="00CD5B46">
              <w:rPr>
                <w:color w:val="000000" w:themeColor="text1"/>
              </w:rPr>
              <w:t xml:space="preserve"> </w:t>
            </w:r>
            <w:proofErr w:type="spellStart"/>
            <w:r w:rsidRPr="00CD5B46">
              <w:rPr>
                <w:color w:val="000000" w:themeColor="text1"/>
              </w:rPr>
              <w:t>izdošanu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2D22" w14:textId="6253C10B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7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https://eur-lex.europa.eu/legal-content/LV/TXT/?uri=uriserv%3AOJ.L_.2022.033.01.0046.01.LAV&amp;toc=OJ%3AL%3A2022%3A033%3ATOC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44C7A47F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81E4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124B329A" w14:textId="73C9D4ED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35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17.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E641" w14:textId="20FA84C8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32022R0208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A9B9" w14:textId="77777777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Deleģētā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2022/208 (2021.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decembris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Nr. 139/2014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prasībām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ekspluatāciju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visos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laikapstākļos</w:t>
            </w:r>
            <w:proofErr w:type="spellEnd"/>
          </w:p>
          <w:p w14:paraId="73EE412C" w14:textId="77777777" w:rsidR="00432E35" w:rsidRPr="00CD5B46" w:rsidRDefault="00432E35" w:rsidP="00FE7FB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34F7" w14:textId="24AFF979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8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https://eur-lex.europa.eu/legal-content/LV/TXT/?uri=uriserv%3AOJ.L_.2022.035.01.0001.01.LAV&amp;toc=OJ%3AL%3A2022%3A035%3ATOC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A25BF92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06F3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122C5F57" w14:textId="019E79FD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37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18.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445A" w14:textId="37BA8CFE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32022D0220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0FEE" w14:textId="0ABFBAF4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2022/220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15. 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nostāju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kas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Savienībai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Apvienotajā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komitejā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kura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izveidota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saskaņā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Sadarbības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memorandu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starp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Savienību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Starptautisko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Civilās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aviācijas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organizāciju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lastRenderedPageBreak/>
              <w:t>paredz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sistēmu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ciešākai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sadarbībai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jāieņem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darbības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kārtības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pieņemšanu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sadarbībai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ziņošanā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nelaimes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gadījumiem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incidentiem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civilajā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aviācijā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un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Savienības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puses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priekšsēdētāja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iecelšanu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Apvienotajā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komitejā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F220" w14:textId="7873D6F0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19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https://eur-lex.europa.eu/legal-content/LV/TXT/?uri=uriserv%3AOJ.L_.2022.037.01.0052.01.LAV&amp;toc=OJ%3AL%3A2022%3A037%3ATOC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0C882F24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240F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37EC726B" w14:textId="11C54532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41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22.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3689" w14:textId="57FC384C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32022R0247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DA12" w14:textId="0208B11A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Deleģētā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2022/247 (2021.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decembris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2018/956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datiem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kas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dalībvalstīm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ražotājiem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jāmonitorē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jāziņo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jauniem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lielas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noslodzes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transportlīdzekļiem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ziņošanas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procedūru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B622" w14:textId="227EDEBB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0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https://eur-lex.europa.eu/legal-content/LV/TXT/?uri=uriserv%3AOJ.L_.2022.041.01.0011.01.LAV&amp;toc=OJ%3AL%3A2022%3A041%3ATOC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4CF3B35D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E741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7E4337DE" w14:textId="549874BD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41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22.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338F" w14:textId="77C3657A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32022D0252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F527" w14:textId="1E18EBF7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2022/252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2020/1167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precizētu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testēšanas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prasības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kas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piemērojamas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efektīvam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48 V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motorģeneratoram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kurš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integrēts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pārnesumkārbas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korpusā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apvienots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48 V/12 V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līdzstrāvas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pārveidotāju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AAEB" w14:textId="3D2112E9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1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https://eur-lex.europa.eu/legal-content/LV/TXT/?uri=uriserv%3AOJ.L_.2022.041.01.0033.01.LAV&amp;toc=OJ%3AL%3A2022%3A041%3ATOC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6BB57FA2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694E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5CBEF030" w14:textId="514AAE20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42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23.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3CA1" w14:textId="3906E4D5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32022R0255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223" w14:textId="588585BC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Deleģētā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2022/255 (2021.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15. 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decembris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(EEK) Nr. 95/93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pasākumu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pagarināšanu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saistībā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pagaidu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atbrīvojumu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no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laika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nišu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izmantošanas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Covid-19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krīzes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dēļ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F4A7" w14:textId="15686CA5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2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https://eur-lex.europa.eu/legal-content/LV/TXT/?uri=uriserv%3AOJ.L_.2022.042.01.0001.01.LAV&amp;toc=OJ%3AL%3A2022%3A042%3ATOC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259A6C0F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37FE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166164F2" w14:textId="44E0DC1F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42 sējums</w:t>
            </w:r>
            <w:r w:rsidRPr="00CD5B46">
              <w:rPr>
                <w:rFonts w:cs="Times New Roman"/>
                <w:color w:val="000000" w:themeColor="text1"/>
              </w:rPr>
              <w:br/>
            </w:r>
            <w:r w:rsidRPr="00CD5B46">
              <w:rPr>
                <w:rFonts w:cs="Times New Roman"/>
                <w:color w:val="000000" w:themeColor="text1"/>
              </w:rPr>
              <w:lastRenderedPageBreak/>
              <w:t>2022. gada 23.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4E2A" w14:textId="01696ABB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32022R0263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36C4" w14:textId="77777777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2022/263 (2022.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23. 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ierobežojošiem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pasākumiem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reaģē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Ukrainas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Doneckas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Luhanskas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lastRenderedPageBreak/>
              <w:t>apgabalu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valdības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nekontrolēto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teritoriju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atzīšanu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rīkojumu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izvietot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Krievijas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bruņotos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spēkus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minētajās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teritorijās</w:t>
            </w:r>
            <w:proofErr w:type="spellEnd"/>
          </w:p>
          <w:p w14:paraId="56456837" w14:textId="77777777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E058" w14:textId="08B1C4D7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3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https://eur-lex.europa.eu/legal-content/LV/TXT/PDF/?uri=CELEX:32022R0263&amp;from=LV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AAB79C6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6ACF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357B1332" w14:textId="16ED64CA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42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23.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4320" w14:textId="2C4047D7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32022D0266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F3EB" w14:textId="3910CE42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 (KĀDP) 2022/266 (2022.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23. 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februārī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ierobežojošiem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pasākumiem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reaģē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Ukrainas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Doneckas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Luhanskas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apgabalu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valdības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nekontrolēto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teritoriju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atzīšanu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rīkojumu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izvietot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Krievijas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bruņotos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spēkus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minētajās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teritorijās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81A5" w14:textId="54C59AEF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4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https://eur-lex.europa.eu/legal-content/LV/TXT/?uri=uriserv%3AOJ.LI.2022.042.01.0109.01.LAV&amp;toc=OJ%3AL%3A2022%3A042I%3ATOC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70AA5AC3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D709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57D41D9B" w14:textId="1B0E5933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46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25.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9653" w14:textId="77777777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F840" w14:textId="1080C6B5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Kopienas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Šveices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Iekšzemes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transporta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komitejas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Nr. 2/2021 (2021.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17. 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decembris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Kopienas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Šveices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Konfederācijas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Nolīguma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preču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pasažieru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pārvadāšanu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dzelzceļu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autoceļiem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pielikumu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Nr. 2/2019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pārejas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pasākumiem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kuru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nolūks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nodrošināt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raitu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dzelzceļa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satiksmi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starp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Šveici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Savienību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59BC" w14:textId="3753C4AD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5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https://eur-lex.europa.eu/legal-content/LV/TXT/?uri=uriserv%3AOJ.L_.2022.046.01.0125.01.LAV&amp;toc=OJ%3AL%3A2022%3A046%3ATOC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333A05D1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F5CC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6B473265" w14:textId="50CB68E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46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25.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3E0F" w14:textId="26843EEF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32022D0309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2892" w14:textId="77777777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2022/309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nolūkā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Daimler AG un Daimler AG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grupas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vidējo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īpatnējo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CO2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emisiju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aprēķinos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ņemt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vērā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noteiktus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ekoinovāciju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panāktus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CO2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aiztaupījumus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2019/583 (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izziņots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dokumenta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numuru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C(2022) 965)</w:t>
            </w:r>
          </w:p>
          <w:p w14:paraId="380A988C" w14:textId="77777777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F733" w14:textId="55744965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6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https://eur-lex.europa.eu/legal-content/LV/TXT/?uri=uriserv%3AOJ.L_.2022.046.01.0128.01.LAV&amp;toc=OJ%3AL%3A2022%3A046%3ATOC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40B611E6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8BA8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0BC9D82B" w14:textId="6BCF8378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L 55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28.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ADA8" w14:textId="12F391D3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32022R0312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DD2C" w14:textId="252E0F9D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Regula (ES) 2022/312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lastRenderedPageBreak/>
              <w:t xml:space="preserve">(ES) 2020/1429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to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pagaidu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pasākumu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piemērošanas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pārskata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perioda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ilgumu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kuri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maksas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iekasēšanu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dzelzceļa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infrastruktūras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izmantošanu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C458" w14:textId="7319CA35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7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</w:t>
              </w:r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lastRenderedPageBreak/>
                <w:t>J.L_.2022.055.01.0001.01.LAV&amp;toc=OJ%3AL%3A2022%3A055%3ATOC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5A13CCCB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063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Eiropas Savienības Oficiālais Vēstnesis</w:t>
            </w:r>
          </w:p>
          <w:p w14:paraId="4DE234A7" w14:textId="71128B3B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55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28.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BCB6" w14:textId="6F744B65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32022D0324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8E5A" w14:textId="5B7D505C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2022/324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nolūkā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Daimler AG un Daimler AG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grupas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CO2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emisiju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aprēķinos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ņemt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vērā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noteiktus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ekoinovāciju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panāktus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CO2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aiztaupījumus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2021/973 (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izziņots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dokumenta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numuru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C(2022) 690) </w:t>
            </w:r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CC76" w14:textId="7180BE33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8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https://eur-lex.europa.eu/legal-content/LV/TXT/?uri=uriserv%3AOJ.L_.2022.055.01.0054.01.LAV&amp;toc=OJ%3AL%3A2022%3A055%3ATOC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03F601F6" w14:textId="77777777" w:rsidTr="27F8040A">
        <w:trPr>
          <w:trHeight w:val="416"/>
        </w:trPr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DA24" w14:textId="7777777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0849B044" w14:textId="4E7E4B27" w:rsidR="00432E35" w:rsidRPr="00CD5B46" w:rsidRDefault="00432E35" w:rsidP="005512F7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57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28. februāris</w:t>
            </w:r>
          </w:p>
        </w:tc>
        <w:tc>
          <w:tcPr>
            <w:tcW w:w="20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E08C" w14:textId="5E15FA39" w:rsidR="00432E35" w:rsidRPr="00CD5B46" w:rsidRDefault="00432E35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32022R0334</w:t>
            </w:r>
          </w:p>
        </w:tc>
        <w:tc>
          <w:tcPr>
            <w:tcW w:w="51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050C" w14:textId="0C2D3B7F" w:rsidR="00432E35" w:rsidRPr="00CD5B46" w:rsidRDefault="00432E35" w:rsidP="005512F7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Regula (ES) 2022/334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28. 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kuru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 (ES) Nr. 833/2014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ierobežojošiem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pasākumiem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saistībā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Krievijas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darbībām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kas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destabilizē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situāciju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Ukrainā</w:t>
            </w:r>
            <w:proofErr w:type="spellEnd"/>
          </w:p>
        </w:tc>
        <w:tc>
          <w:tcPr>
            <w:tcW w:w="37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5AF4" w14:textId="3E5021FF" w:rsidR="00432E35" w:rsidRPr="00CD5B46" w:rsidRDefault="00AA281F" w:rsidP="00FE7FB2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29" w:history="1">
              <w:r w:rsidR="00432E35"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https://eur-lex.europa.eu/legal-content/LV/TXT/?uri=uriserv%3AOJ.L_.2022.057.01.0001.01.LAV&amp;toc=OJ%3AL%3A2022%3A057%3ATOC</w:t>
              </w:r>
            </w:hyperlink>
            <w:r w:rsidR="00432E35"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060CE0A4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A50A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63667388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62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0ED5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32022D0344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E6D4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2022/344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nolūkā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Daimler AG un Daimler AG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grupas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vidējo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īpatnējo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CO2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emisiju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aprēķinos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ņemt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vērā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noteiktus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ekoinovāciju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panāktus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CO2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aiztaupījumus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2020/1035 (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izziņots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dokumenta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numuru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C(2022) 964) (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Autentisks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tikai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teksts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angļu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čehu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franču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itāļu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nīderlandiešu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ungāru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vācu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zviedru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valodā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511F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0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https://eur-lex.europa.eu/legal-content/LV/TXT/?uri=uriserv%3AOJ.L_.2022.062.01.0012.01.LAV&amp;toc=OJ%3AL%3A2022%3A062%3ATOC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5065F28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A6E8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6199D604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69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4.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3915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32022L0362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CE78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Direktīva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2022/362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februāris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Direktīvas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1999/62/EK, 1999/37/EK un (ES) </w:t>
            </w:r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lastRenderedPageBreak/>
              <w:t xml:space="preserve">2019/520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dažu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infrastruktūru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lietošanas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maksas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transportlīdzekļiem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A464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1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https://eur-lex.europa.eu/legal-content/LV/TXT/?uri=uriserv%3AOJ.L_.2022.069.01.0001.01.LAV&amp;toc=OJ%3AL%3A2022%3A069%3AT</w:t>
              </w:r>
              <w:r w:rsidRPr="00CD5B46">
                <w:rPr>
                  <w:rStyle w:val="Hipersaite"/>
                  <w:rFonts w:cs="Times New Roman"/>
                  <w:color w:val="000000" w:themeColor="text1"/>
                </w:rPr>
                <w:lastRenderedPageBreak/>
                <w:t>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2F22FFD1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384E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Eiropas Savienības Oficiālais Vēstnesis</w:t>
            </w:r>
          </w:p>
          <w:p w14:paraId="4EE5D9B5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78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8.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D8A2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32022D0387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9D8F" w14:textId="77777777" w:rsidR="00CD5B46" w:rsidRPr="00CD5B46" w:rsidRDefault="00CD5B46" w:rsidP="00CD5B46">
            <w:pPr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2022/387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3. marts)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nostāju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kas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Savienības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vārdā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jāieņem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Apvienoto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Organizācijas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Ekonomikas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Transportlīdzekļu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harmonizācijas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pasaules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forumā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priekšlikumiem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izmaiņām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ANO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Noteikumos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Nr. 0, 9, 10, 13, 39, 46, 51, 53, 55, 63, 78, 79, 90, 107, 108, 109, 116, 117, 121, 125, 141, 142, 148, 149, 152, 154, 155, 160, 161, 162 un 163,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priekšlikumu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jauniem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ANO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radžotām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riepām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priekšlikumu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jauniem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ANO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Vispārējiem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tehniskajiem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elektrotransportlīdzekļos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esošās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akumulatoru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baterijas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ilgizturību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priekšlikumu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grozījumiem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Konsolidētajā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rezolūcijā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R.E.5,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priekšlikumu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atļauju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izstrādāt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grozījumu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ANO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Vispārējos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tehniskajos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noteikumos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Nr. 3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priekšlikumu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atļauju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izstrādāt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jaunus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ANO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Vispārējos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tehniskos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noteikumus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bremžu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daļiņveida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emisijām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6792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2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https://eur-lex.europa.eu/legal-content/LV/TXT/?uri=uriserv%3AOJ.L_.2022.078.01.0038.01.LAV&amp;toc=OJ%3AL%3A2022%3A078%3ATOC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50C8CF6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BC1B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1F894714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79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11.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9A10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32022R0410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42CF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2022/410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10. marts),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Nr. 1321/2014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lidojumderīguma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uzturēšanas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vadību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vienā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gaisa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pārvadājumu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uzņēmumu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grupā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E7B9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3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https://eur-lex.europa.eu/legal-content/LV/TXT/?uri=uriserv%3AOJ.L_.2022.084.01.0020.01.LAV&amp;toc=OJ%3AL%3A2022%3A084%3ATOC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2A9EFC0B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6A73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Eiropas Savienības Oficiālais Vēstnesis</w:t>
            </w:r>
          </w:p>
          <w:p w14:paraId="15687048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85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14.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3DF7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32022R0414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1554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2022/414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11. marts),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kuru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labo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Nr. 965/2012,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nosaka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tehniskās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prasības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administratīvās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procedūras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saistībā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gaisa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kuģu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ekspluatāciju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atbilstīgi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(EK) Nr. 216/2008,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somu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valodas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versiju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273D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4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https://eur-lex.europa.eu/legal-content/LV/TXT/?uri=uriserv%3AOJ.L_.2022.085.01.0004.01.LAV&amp;toc=OJ%3AL%3A2022%3A085%3ATOC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7B0BAC91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0445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70088F79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85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14.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0EF1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32022D0418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024E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2022/418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10. marts)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Direktīvas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2014/25/ES 34.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piemērojamību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nekomerciāliem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autobusu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pārvadājumu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pakalpojumiem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Austrijas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reģionos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kuri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reģionālo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transporta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pārvaldības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iestāžu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Verkehrsverbund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Ost-Region (VOR)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Oberösterreich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Verkehrsverbund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(OÖVV)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kompetencē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1A23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5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https://eur-lex.europa.eu/legal-content/LV/TXT/?uri=uriserv%3AOJ.L_.2022.085.01.0119.01.LAV&amp;toc=OJ%3AL%3A2022%3A085%3ATOC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7B1C961B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408C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2E00F6BA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87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15.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1C6D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32022L0421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8026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2022/421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14. marts),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2015/1998,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nosaka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sīki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izstrādātus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pasākumus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kopīgu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pamatstandartu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aviācijas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drošības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jomā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2A10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6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https://eur-lex.europa.eu/legal-content/LV/TXT/?uri=uriserv%3AOJ.L_.2022.087.01.0001.01.LAV&amp;toc=OJ%3AL%3A2022%3A087%3ATOC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2782318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7209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229E9039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87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15.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A317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32022R0425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6EAA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2022/425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14. marts),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2019/947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pārejas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datumu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atlikšanu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dažu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bezpilota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gaisa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kuģu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sistēmu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izmantošanai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“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atvērto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”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operāciju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kategorijā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ekspluatācijas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veic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tiešredzamības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robežās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ārpus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tām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standarta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scenāriju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piemērošanas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datuma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atlikšanu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4A46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7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https://eur-lex.europa.eu/legal-content/LV/TXT/?uri=uriserv%3AOJ.L_.2022.087.01.0020.01.LAV&amp;toc=OJ%3AL%3A2022%3A087%3ATOC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4F38244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0405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lastRenderedPageBreak/>
              <w:t>Eiropas Savienības Oficiālais Vēstnesis</w:t>
            </w:r>
          </w:p>
          <w:p w14:paraId="2A92056A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92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21.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85EE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32020R2148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CDCF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Labojums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Deleģētajā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2020/2148 (2020.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8. 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oktobris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skrejceļu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drošību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aeronavigācijas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datiem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Nr. 139/2014 (“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Savienības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Oficiālais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Vēstnesis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” L 428, 2020.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18. 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decembris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4993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8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https://eur-lex.europa.eu/legal-content/LV/TXT/?uri=uriserv%3AOJ.L_.2022.092.01.0098.01.LAV&amp;toc=OJ%3AL%3A2022%3A092%3ATOC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199760FA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39E7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148F2C89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93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22.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4089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32022R0455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AD86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Regula (ES) 2022/455 (2022.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14. marts),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attiecībā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to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gaisakuģu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operatoru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sarakstu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kuri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2006. 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janvārī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pēc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minētā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datuma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veikuši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Eiropas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Parlamenta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Padomes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Direktīvas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2003/87/EK I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pielikumā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uzskaitītās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aviācijas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darbības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katram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gaisakuģa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operatoram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norādot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administrējošo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dalībvalsti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groza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Regulu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(EK) Nr. 748/2009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BAC9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39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https://eur-lex.europa.eu/legal-content/LV/TXT/?uri=uriserv%3AOJ.L_.2022.093.01.0001.01.LAV&amp;toc=OJ%3AL%3A2022%3A093%3ATOC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D5B46" w:rsidRPr="00CD5B46" w14:paraId="7E6EC176" w14:textId="77777777" w:rsidTr="00CD5B4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13E3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Eiropas Savienības Oficiālais Vēstnesis</w:t>
            </w:r>
          </w:p>
          <w:p w14:paraId="69B7C6BA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L 93 sējums</w:t>
            </w:r>
            <w:r w:rsidRPr="00CD5B46">
              <w:rPr>
                <w:rFonts w:cs="Times New Roman"/>
                <w:color w:val="000000" w:themeColor="text1"/>
              </w:rPr>
              <w:br/>
              <w:t>2022. gada 22. marts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B08D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CD5B46">
              <w:rPr>
                <w:rFonts w:cs="Times New Roman"/>
                <w:color w:val="000000" w:themeColor="text1"/>
              </w:rPr>
              <w:t>32022L0459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E909" w14:textId="77777777" w:rsidR="00CD5B46" w:rsidRPr="00CD5B46" w:rsidRDefault="00CD5B46" w:rsidP="005F59DE">
            <w:pPr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Komisijas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Lēmums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(ES) 2022/459 (2021.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gada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10. 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septembris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) par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valsts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atbalstu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SA.49668 (2019/C) (ex 2017/FC) un SA.53403 (2019/C) (ex 2017/FC), ko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īstenojusi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Dānija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Zviedrija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PostNord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AB un Post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Danmark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A/S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labā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izziņots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dokumenta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numuru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C(2021) 6568) (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Autentisks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ir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tikai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teksts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dāņu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un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zviedru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valodā</w:t>
            </w:r>
            <w:proofErr w:type="spellEnd"/>
            <w:r w:rsidRPr="00CD5B46">
              <w:rPr>
                <w:rFonts w:eastAsia="Times New Roman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F9F9" w14:textId="77777777" w:rsidR="00CD5B46" w:rsidRPr="00CD5B46" w:rsidRDefault="00CD5B46" w:rsidP="005F59DE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hyperlink r:id="rId40" w:history="1">
              <w:r w:rsidRPr="00CD5B46">
                <w:rPr>
                  <w:rStyle w:val="Hipersaite"/>
                  <w:rFonts w:cs="Times New Roman"/>
                  <w:color w:val="000000" w:themeColor="text1"/>
                </w:rPr>
                <w:t>https://eur-lex.europa.eu/legal-content/LV/TXT/?uri=uriserv%3AOJ.L_.2022.093.01.0146.01.LAV&amp;toc=OJ%3AL%3A2022%3A093%3ATOC</w:t>
              </w:r>
            </w:hyperlink>
            <w:r w:rsidRPr="00CD5B4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</w:tbl>
    <w:p w14:paraId="3055E4B7" w14:textId="772C568A" w:rsidR="00463363" w:rsidRPr="00FE7FB2" w:rsidRDefault="00463363" w:rsidP="00FE7FB2">
      <w:pPr>
        <w:jc w:val="both"/>
        <w:rPr>
          <w:rFonts w:eastAsia="Segoe UI"/>
          <w:i/>
          <w:iCs/>
          <w:color w:val="000000" w:themeColor="text1"/>
          <w:kern w:val="3"/>
          <w:lang w:val="lv-LV" w:eastAsia="hi-IN" w:bidi="hi-IN"/>
        </w:rPr>
      </w:pPr>
    </w:p>
    <w:p w14:paraId="1AE24D5C" w14:textId="442E1161" w:rsidR="00DE2388" w:rsidRPr="00C85F2C" w:rsidRDefault="00DE2388" w:rsidP="00C85F2C">
      <w:pPr>
        <w:jc w:val="both"/>
        <w:rPr>
          <w:color w:val="000000" w:themeColor="text1"/>
          <w:lang w:val="lv-LV"/>
        </w:rPr>
      </w:pPr>
    </w:p>
    <w:sectPr w:rsidR="00DE2388" w:rsidRPr="00C85F2C" w:rsidSect="007114E6">
      <w:footerReference w:type="default" r:id="rId4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AADA" w14:textId="77777777" w:rsidR="00AA281F" w:rsidRDefault="00AA281F">
      <w:r>
        <w:separator/>
      </w:r>
    </w:p>
  </w:endnote>
  <w:endnote w:type="continuationSeparator" w:id="0">
    <w:p w14:paraId="05DDD6BD" w14:textId="77777777" w:rsidR="00AA281F" w:rsidRDefault="00A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876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91B18" w14:textId="6A13EBDA" w:rsidR="001631D0" w:rsidRDefault="009B7BD5" w:rsidP="000963B0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EE5A" w14:textId="77777777" w:rsidR="00AA281F" w:rsidRDefault="00AA281F">
      <w:r>
        <w:separator/>
      </w:r>
    </w:p>
  </w:footnote>
  <w:footnote w:type="continuationSeparator" w:id="0">
    <w:p w14:paraId="07A4715D" w14:textId="77777777" w:rsidR="00AA281F" w:rsidRDefault="00A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B1"/>
    <w:rsid w:val="00085126"/>
    <w:rsid w:val="000963B0"/>
    <w:rsid w:val="000B3464"/>
    <w:rsid w:val="001228B9"/>
    <w:rsid w:val="00167D40"/>
    <w:rsid w:val="001974B3"/>
    <w:rsid w:val="001C3387"/>
    <w:rsid w:val="001D6B2A"/>
    <w:rsid w:val="002200E1"/>
    <w:rsid w:val="00225D16"/>
    <w:rsid w:val="00232A7D"/>
    <w:rsid w:val="0026142B"/>
    <w:rsid w:val="00272569"/>
    <w:rsid w:val="002C7C96"/>
    <w:rsid w:val="002E6BF4"/>
    <w:rsid w:val="002F7988"/>
    <w:rsid w:val="002F7C08"/>
    <w:rsid w:val="0030478C"/>
    <w:rsid w:val="00315B3A"/>
    <w:rsid w:val="00316D97"/>
    <w:rsid w:val="00341F51"/>
    <w:rsid w:val="003A4616"/>
    <w:rsid w:val="003B7FA5"/>
    <w:rsid w:val="003E0216"/>
    <w:rsid w:val="003F1883"/>
    <w:rsid w:val="00432E35"/>
    <w:rsid w:val="00463363"/>
    <w:rsid w:val="004B13BA"/>
    <w:rsid w:val="004C5B41"/>
    <w:rsid w:val="004C63D5"/>
    <w:rsid w:val="004D2755"/>
    <w:rsid w:val="004D605B"/>
    <w:rsid w:val="00527292"/>
    <w:rsid w:val="00527D64"/>
    <w:rsid w:val="00562320"/>
    <w:rsid w:val="00562979"/>
    <w:rsid w:val="0057266E"/>
    <w:rsid w:val="00580CEE"/>
    <w:rsid w:val="005B4955"/>
    <w:rsid w:val="005B663E"/>
    <w:rsid w:val="005C2A90"/>
    <w:rsid w:val="005E5997"/>
    <w:rsid w:val="005F20AC"/>
    <w:rsid w:val="005F22DD"/>
    <w:rsid w:val="006070C6"/>
    <w:rsid w:val="00610591"/>
    <w:rsid w:val="0063771E"/>
    <w:rsid w:val="006570E7"/>
    <w:rsid w:val="006715BC"/>
    <w:rsid w:val="006C5D69"/>
    <w:rsid w:val="00733788"/>
    <w:rsid w:val="00762F8A"/>
    <w:rsid w:val="007749D0"/>
    <w:rsid w:val="00783944"/>
    <w:rsid w:val="007C2333"/>
    <w:rsid w:val="007E195F"/>
    <w:rsid w:val="007F2A6F"/>
    <w:rsid w:val="00845E0D"/>
    <w:rsid w:val="008668F0"/>
    <w:rsid w:val="008826CA"/>
    <w:rsid w:val="008A0C4E"/>
    <w:rsid w:val="008A627F"/>
    <w:rsid w:val="008D03C6"/>
    <w:rsid w:val="008D0A50"/>
    <w:rsid w:val="008D398B"/>
    <w:rsid w:val="008D6DD1"/>
    <w:rsid w:val="009059A4"/>
    <w:rsid w:val="0095700F"/>
    <w:rsid w:val="009617F1"/>
    <w:rsid w:val="0098640E"/>
    <w:rsid w:val="009B1F16"/>
    <w:rsid w:val="009B7BD5"/>
    <w:rsid w:val="009F68B5"/>
    <w:rsid w:val="00A14931"/>
    <w:rsid w:val="00A24EB1"/>
    <w:rsid w:val="00A341E1"/>
    <w:rsid w:val="00A41D9C"/>
    <w:rsid w:val="00A7502F"/>
    <w:rsid w:val="00AA281F"/>
    <w:rsid w:val="00B2658F"/>
    <w:rsid w:val="00B85E86"/>
    <w:rsid w:val="00BB2DC1"/>
    <w:rsid w:val="00BB76C9"/>
    <w:rsid w:val="00BF213A"/>
    <w:rsid w:val="00C21153"/>
    <w:rsid w:val="00C35229"/>
    <w:rsid w:val="00C452BF"/>
    <w:rsid w:val="00C47974"/>
    <w:rsid w:val="00C56333"/>
    <w:rsid w:val="00C6143C"/>
    <w:rsid w:val="00C651A4"/>
    <w:rsid w:val="00C67B7D"/>
    <w:rsid w:val="00C71A71"/>
    <w:rsid w:val="00C85F2C"/>
    <w:rsid w:val="00CA32AA"/>
    <w:rsid w:val="00CA3943"/>
    <w:rsid w:val="00CD1226"/>
    <w:rsid w:val="00CD1D2A"/>
    <w:rsid w:val="00CD5B46"/>
    <w:rsid w:val="00CF62FE"/>
    <w:rsid w:val="00D04B32"/>
    <w:rsid w:val="00D1361C"/>
    <w:rsid w:val="00D45ED8"/>
    <w:rsid w:val="00D502E6"/>
    <w:rsid w:val="00DB4ACC"/>
    <w:rsid w:val="00DE2388"/>
    <w:rsid w:val="00DF5F66"/>
    <w:rsid w:val="00E127CB"/>
    <w:rsid w:val="00E54C16"/>
    <w:rsid w:val="00EE5A77"/>
    <w:rsid w:val="00F04145"/>
    <w:rsid w:val="00F13537"/>
    <w:rsid w:val="00F90813"/>
    <w:rsid w:val="00FE7FB2"/>
    <w:rsid w:val="0145C583"/>
    <w:rsid w:val="01AFA12A"/>
    <w:rsid w:val="027C958E"/>
    <w:rsid w:val="0295751F"/>
    <w:rsid w:val="02EC4C37"/>
    <w:rsid w:val="041865EF"/>
    <w:rsid w:val="04E3AD1F"/>
    <w:rsid w:val="0613C4C3"/>
    <w:rsid w:val="0637CB3A"/>
    <w:rsid w:val="07F5E3D6"/>
    <w:rsid w:val="08E0D9CA"/>
    <w:rsid w:val="095F2F60"/>
    <w:rsid w:val="0A7CAA2B"/>
    <w:rsid w:val="0B95D729"/>
    <w:rsid w:val="0B9C95BF"/>
    <w:rsid w:val="0D68803B"/>
    <w:rsid w:val="0E8EB2CD"/>
    <w:rsid w:val="0E926933"/>
    <w:rsid w:val="0F2E8614"/>
    <w:rsid w:val="0F41E69C"/>
    <w:rsid w:val="10494400"/>
    <w:rsid w:val="10E6E884"/>
    <w:rsid w:val="12C370EB"/>
    <w:rsid w:val="132E04A8"/>
    <w:rsid w:val="13F7472A"/>
    <w:rsid w:val="152A4FA8"/>
    <w:rsid w:val="15D9A116"/>
    <w:rsid w:val="185DC3A6"/>
    <w:rsid w:val="190B6EF0"/>
    <w:rsid w:val="1A4CFC8B"/>
    <w:rsid w:val="1A77BF22"/>
    <w:rsid w:val="1AA92819"/>
    <w:rsid w:val="1B6E4804"/>
    <w:rsid w:val="1B6F7D0A"/>
    <w:rsid w:val="1BCA8100"/>
    <w:rsid w:val="1BE930B2"/>
    <w:rsid w:val="1C41DBE9"/>
    <w:rsid w:val="1D211150"/>
    <w:rsid w:val="1D446945"/>
    <w:rsid w:val="1DCB1611"/>
    <w:rsid w:val="1E1ED205"/>
    <w:rsid w:val="1E515495"/>
    <w:rsid w:val="1E716360"/>
    <w:rsid w:val="1E7CF866"/>
    <w:rsid w:val="1E8A8794"/>
    <w:rsid w:val="1EE62EEE"/>
    <w:rsid w:val="1F7B4DC5"/>
    <w:rsid w:val="1FAD9E71"/>
    <w:rsid w:val="2160A5C5"/>
    <w:rsid w:val="220ACA0B"/>
    <w:rsid w:val="2275087F"/>
    <w:rsid w:val="229BE6A1"/>
    <w:rsid w:val="248268C3"/>
    <w:rsid w:val="24A43D8B"/>
    <w:rsid w:val="2511068C"/>
    <w:rsid w:val="2545ECA7"/>
    <w:rsid w:val="26370459"/>
    <w:rsid w:val="2647A77F"/>
    <w:rsid w:val="26D6BF61"/>
    <w:rsid w:val="27BF36AB"/>
    <w:rsid w:val="27F8040A"/>
    <w:rsid w:val="285D4D9F"/>
    <w:rsid w:val="28A9F8D1"/>
    <w:rsid w:val="28B58BDB"/>
    <w:rsid w:val="29465CC9"/>
    <w:rsid w:val="29613785"/>
    <w:rsid w:val="2A195DCA"/>
    <w:rsid w:val="2A5C1F12"/>
    <w:rsid w:val="2B0853A0"/>
    <w:rsid w:val="2BBBFCEA"/>
    <w:rsid w:val="2E607133"/>
    <w:rsid w:val="2F1D63D7"/>
    <w:rsid w:val="30508D17"/>
    <w:rsid w:val="30C70A97"/>
    <w:rsid w:val="319475EB"/>
    <w:rsid w:val="32A2EDF8"/>
    <w:rsid w:val="32C16964"/>
    <w:rsid w:val="337967F0"/>
    <w:rsid w:val="33D29D4F"/>
    <w:rsid w:val="3458DD72"/>
    <w:rsid w:val="347058F9"/>
    <w:rsid w:val="34D040C6"/>
    <w:rsid w:val="356EF3A0"/>
    <w:rsid w:val="3687CBC2"/>
    <w:rsid w:val="36A14430"/>
    <w:rsid w:val="37ADB3B3"/>
    <w:rsid w:val="3841EBFC"/>
    <w:rsid w:val="394FC15D"/>
    <w:rsid w:val="3966D4D4"/>
    <w:rsid w:val="3A66AF8C"/>
    <w:rsid w:val="3AABC8AE"/>
    <w:rsid w:val="3B1DA621"/>
    <w:rsid w:val="3B74B553"/>
    <w:rsid w:val="3B7A74BA"/>
    <w:rsid w:val="3B7C763D"/>
    <w:rsid w:val="3C43EC1B"/>
    <w:rsid w:val="3D24FD52"/>
    <w:rsid w:val="3D8ED164"/>
    <w:rsid w:val="3DDC7529"/>
    <w:rsid w:val="3ED5FA9A"/>
    <w:rsid w:val="3FEDFC33"/>
    <w:rsid w:val="3FF53B26"/>
    <w:rsid w:val="3FF6B5AA"/>
    <w:rsid w:val="40D7AE92"/>
    <w:rsid w:val="40FDB36B"/>
    <w:rsid w:val="41000A63"/>
    <w:rsid w:val="41A40214"/>
    <w:rsid w:val="41E8DA6C"/>
    <w:rsid w:val="42842C34"/>
    <w:rsid w:val="43BB7610"/>
    <w:rsid w:val="4414378C"/>
    <w:rsid w:val="464F4322"/>
    <w:rsid w:val="4791B27F"/>
    <w:rsid w:val="48660517"/>
    <w:rsid w:val="48704618"/>
    <w:rsid w:val="48E98588"/>
    <w:rsid w:val="4BDFE786"/>
    <w:rsid w:val="4CB18DA9"/>
    <w:rsid w:val="4D4CEF9A"/>
    <w:rsid w:val="4DDA2C0E"/>
    <w:rsid w:val="4DFA8679"/>
    <w:rsid w:val="4E014414"/>
    <w:rsid w:val="4E061B7F"/>
    <w:rsid w:val="4F40A602"/>
    <w:rsid w:val="4F9656DA"/>
    <w:rsid w:val="5014C6FA"/>
    <w:rsid w:val="51015982"/>
    <w:rsid w:val="5113DF72"/>
    <w:rsid w:val="511F6C68"/>
    <w:rsid w:val="5140A5C0"/>
    <w:rsid w:val="5198BFF2"/>
    <w:rsid w:val="524F9FCC"/>
    <w:rsid w:val="529929D6"/>
    <w:rsid w:val="53ADCBD7"/>
    <w:rsid w:val="54CF0FC0"/>
    <w:rsid w:val="54EC66D7"/>
    <w:rsid w:val="54EED148"/>
    <w:rsid w:val="55039CF1"/>
    <w:rsid w:val="55BAE52D"/>
    <w:rsid w:val="55CE5B09"/>
    <w:rsid w:val="566AE021"/>
    <w:rsid w:val="589B993C"/>
    <w:rsid w:val="5B51C720"/>
    <w:rsid w:val="5B56F940"/>
    <w:rsid w:val="5B59848A"/>
    <w:rsid w:val="5BA24754"/>
    <w:rsid w:val="5BD339FE"/>
    <w:rsid w:val="5C2959C7"/>
    <w:rsid w:val="5D7431DB"/>
    <w:rsid w:val="5E605F73"/>
    <w:rsid w:val="5E75F206"/>
    <w:rsid w:val="5FC47EA9"/>
    <w:rsid w:val="607F6483"/>
    <w:rsid w:val="609FAC54"/>
    <w:rsid w:val="60A6FB32"/>
    <w:rsid w:val="60C95AB5"/>
    <w:rsid w:val="6200E207"/>
    <w:rsid w:val="62295325"/>
    <w:rsid w:val="653C2F99"/>
    <w:rsid w:val="65D58BB1"/>
    <w:rsid w:val="662A6749"/>
    <w:rsid w:val="683BE2CF"/>
    <w:rsid w:val="6A2DF780"/>
    <w:rsid w:val="6C7935F5"/>
    <w:rsid w:val="6CDEE628"/>
    <w:rsid w:val="701686EA"/>
    <w:rsid w:val="7060D1AB"/>
    <w:rsid w:val="729E5128"/>
    <w:rsid w:val="72C706ED"/>
    <w:rsid w:val="736A89DF"/>
    <w:rsid w:val="737C805F"/>
    <w:rsid w:val="7456FDE0"/>
    <w:rsid w:val="74D6E968"/>
    <w:rsid w:val="7548C870"/>
    <w:rsid w:val="75678A49"/>
    <w:rsid w:val="758CCD16"/>
    <w:rsid w:val="7606EFDE"/>
    <w:rsid w:val="76182652"/>
    <w:rsid w:val="76D7B8F9"/>
    <w:rsid w:val="7726F818"/>
    <w:rsid w:val="785B7112"/>
    <w:rsid w:val="789AA486"/>
    <w:rsid w:val="794FC714"/>
    <w:rsid w:val="796ED4DB"/>
    <w:rsid w:val="79A6300E"/>
    <w:rsid w:val="7AE8D14C"/>
    <w:rsid w:val="7AF1B672"/>
    <w:rsid w:val="7B490AC5"/>
    <w:rsid w:val="7B53D5D4"/>
    <w:rsid w:val="7B6A3431"/>
    <w:rsid w:val="7C4CFC84"/>
    <w:rsid w:val="7D502585"/>
    <w:rsid w:val="7DD68B83"/>
    <w:rsid w:val="7DE88BB3"/>
    <w:rsid w:val="7E6E090C"/>
    <w:rsid w:val="7E9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CE1"/>
  <w15:chartTrackingRefBased/>
  <w15:docId w15:val="{B6AA330D-AD30-479E-AF63-9CBD6A66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FE7FB2"/>
    <w:pPr>
      <w:spacing w:after="0" w:line="240" w:lineRule="auto"/>
    </w:pPr>
    <w:rPr>
      <w:rFonts w:cs="Times New Roman"/>
      <w:szCs w:val="24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24EB1"/>
    <w:rPr>
      <w:color w:val="0000FF"/>
      <w:u w:val="single"/>
    </w:rPr>
  </w:style>
  <w:style w:type="paragraph" w:customStyle="1" w:styleId="Standard">
    <w:name w:val="Standard"/>
    <w:rsid w:val="00A24EB1"/>
    <w:pPr>
      <w:widowControl w:val="0"/>
      <w:suppressAutoHyphens/>
      <w:autoSpaceDN w:val="0"/>
      <w:spacing w:after="0" w:line="240" w:lineRule="auto"/>
    </w:pPr>
    <w:rPr>
      <w:rFonts w:eastAsia="SimSun" w:cs="Lucida Sans"/>
      <w:kern w:val="3"/>
      <w:szCs w:val="24"/>
      <w:lang w:eastAsia="hi-IN" w:bidi="hi-IN"/>
    </w:rPr>
  </w:style>
  <w:style w:type="paragraph" w:styleId="Kjene">
    <w:name w:val="footer"/>
    <w:basedOn w:val="Parasts"/>
    <w:link w:val="KjeneRakstz"/>
    <w:uiPriority w:val="99"/>
    <w:unhideWhenUsed/>
    <w:rsid w:val="00A24EB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SimSun" w:cs="Mangal"/>
      <w:kern w:val="3"/>
      <w:szCs w:val="21"/>
      <w:lang w:val="lv-LV" w:eastAsia="zh-CN" w:bidi="hi-IN"/>
    </w:rPr>
  </w:style>
  <w:style w:type="character" w:customStyle="1" w:styleId="KjeneRakstz">
    <w:name w:val="Kājene Rakstz."/>
    <w:basedOn w:val="Noklusjumarindkopasfonts"/>
    <w:link w:val="Kjene"/>
    <w:uiPriority w:val="99"/>
    <w:rsid w:val="00A24EB1"/>
    <w:rPr>
      <w:rFonts w:eastAsia="SimSun" w:cs="Mangal"/>
      <w:kern w:val="3"/>
      <w:szCs w:val="21"/>
      <w:lang w:eastAsia="zh-CN" w:bidi="hi-IN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24EB1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C651A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51A4"/>
    <w:pPr>
      <w:widowControl w:val="0"/>
      <w:suppressAutoHyphens/>
      <w:autoSpaceDN w:val="0"/>
    </w:pPr>
    <w:rPr>
      <w:rFonts w:eastAsia="SimSun" w:cs="Mangal"/>
      <w:kern w:val="3"/>
      <w:sz w:val="20"/>
      <w:szCs w:val="18"/>
      <w:lang w:val="lv-LV" w:eastAsia="zh-CN" w:bidi="hi-IN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51A4"/>
    <w:rPr>
      <w:rFonts w:eastAsia="SimSun" w:cs="Mangal"/>
      <w:kern w:val="3"/>
      <w:sz w:val="20"/>
      <w:szCs w:val="18"/>
      <w:lang w:eastAsia="zh-CN" w:bidi="hi-I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51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51A4"/>
    <w:rPr>
      <w:rFonts w:eastAsia="SimSun" w:cs="Mangal"/>
      <w:b/>
      <w:bCs/>
      <w:kern w:val="3"/>
      <w:sz w:val="20"/>
      <w:szCs w:val="18"/>
      <w:lang w:eastAsia="zh-CN" w:bidi="hi-IN"/>
    </w:rPr>
  </w:style>
  <w:style w:type="character" w:customStyle="1" w:styleId="UnresolvedMention2">
    <w:name w:val="Unresolved Mention2"/>
    <w:basedOn w:val="Noklusjumarindkopasfonts"/>
    <w:uiPriority w:val="99"/>
    <w:rsid w:val="00B85E86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2755"/>
    <w:rPr>
      <w:rFonts w:cs="Mangal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2755"/>
    <w:rPr>
      <w:rFonts w:eastAsia="SimSun" w:cs="Mangal"/>
      <w:kern w:val="3"/>
      <w:sz w:val="18"/>
      <w:szCs w:val="16"/>
      <w:lang w:eastAsia="zh-CN" w:bidi="hi-IN"/>
    </w:rPr>
  </w:style>
  <w:style w:type="paragraph" w:styleId="Prskatjums">
    <w:name w:val="Revision"/>
    <w:hidden/>
    <w:uiPriority w:val="99"/>
    <w:semiHidden/>
    <w:rsid w:val="004D2755"/>
    <w:pPr>
      <w:spacing w:after="0" w:line="240" w:lineRule="auto"/>
    </w:pPr>
    <w:rPr>
      <w:rFonts w:eastAsia="SimSun" w:cs="Mangal"/>
      <w:kern w:val="3"/>
      <w:szCs w:val="21"/>
      <w:lang w:eastAsia="zh-CN" w:bidi="hi-IN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D2755"/>
    <w:rPr>
      <w:color w:val="954F72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963B0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SimSun" w:cs="Mangal"/>
      <w:kern w:val="3"/>
      <w:szCs w:val="21"/>
      <w:lang w:val="lv-LV" w:eastAsia="zh-CN" w:bidi="hi-IN"/>
    </w:rPr>
  </w:style>
  <w:style w:type="character" w:customStyle="1" w:styleId="GalveneRakstz">
    <w:name w:val="Galvene Rakstz."/>
    <w:basedOn w:val="Noklusjumarindkopasfonts"/>
    <w:link w:val="Galvene"/>
    <w:uiPriority w:val="99"/>
    <w:rsid w:val="000963B0"/>
    <w:rPr>
      <w:rFonts w:eastAsia="SimSun" w:cs="Mangal"/>
      <w:kern w:val="3"/>
      <w:szCs w:val="21"/>
      <w:lang w:eastAsia="zh-CN" w:bidi="hi-IN"/>
    </w:rPr>
  </w:style>
  <w:style w:type="character" w:customStyle="1" w:styleId="apple-converted-space">
    <w:name w:val="apple-converted-space"/>
    <w:basedOn w:val="Noklusjumarindkopasfonts"/>
    <w:rsid w:val="004C63D5"/>
  </w:style>
  <w:style w:type="paragraph" w:styleId="Paraststmeklis">
    <w:name w:val="Normal (Web)"/>
    <w:basedOn w:val="Parasts"/>
    <w:uiPriority w:val="99"/>
    <w:unhideWhenUsed/>
    <w:rsid w:val="00BF213A"/>
    <w:pPr>
      <w:spacing w:before="100" w:beforeAutospacing="1" w:after="100" w:afterAutospacing="1"/>
    </w:pPr>
  </w:style>
  <w:style w:type="character" w:customStyle="1" w:styleId="Neatrisintapieminana1">
    <w:name w:val="Neatrisināta pieminēšana1"/>
    <w:basedOn w:val="Noklusjumarindkopasfonts"/>
    <w:uiPriority w:val="99"/>
    <w:rsid w:val="00C85F2C"/>
    <w:rPr>
      <w:color w:val="605E5C"/>
      <w:shd w:val="clear" w:color="auto" w:fill="E1DFDD"/>
    </w:rPr>
  </w:style>
  <w:style w:type="paragraph" w:customStyle="1" w:styleId="title-bold">
    <w:name w:val="title-bold"/>
    <w:basedOn w:val="Parasts"/>
    <w:rsid w:val="00CD5B46"/>
    <w:pPr>
      <w:spacing w:before="100" w:beforeAutospacing="1" w:after="100" w:afterAutospacing="1"/>
    </w:pPr>
  </w:style>
  <w:style w:type="character" w:styleId="Neatrisintapieminana">
    <w:name w:val="Unresolved Mention"/>
    <w:basedOn w:val="Noklusjumarindkopasfonts"/>
    <w:uiPriority w:val="99"/>
    <w:rsid w:val="00CD5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LV/TXT/?uri=uriserv%3AOJ.L_.2022.024.01.0138.01.LAV&amp;toc=OJ%3AL%3A2022%3A024%3ATOC" TargetMode="External"/><Relationship Id="rId18" Type="http://schemas.openxmlformats.org/officeDocument/2006/relationships/hyperlink" Target="https://eur-lex.europa.eu/legal-content/LV/TXT/?uri=uriserv%3AOJ.L_.2022.035.01.0001.01.LAV&amp;toc=OJ%3AL%3A2022%3A035%3ATOC" TargetMode="External"/><Relationship Id="rId26" Type="http://schemas.openxmlformats.org/officeDocument/2006/relationships/hyperlink" Target="https://eur-lex.europa.eu/legal-content/LV/TXT/?uri=uriserv%3AOJ.L_.2022.046.01.0128.01.LAV&amp;toc=OJ%3AL%3A2022%3A046%3ATOC" TargetMode="External"/><Relationship Id="rId39" Type="http://schemas.openxmlformats.org/officeDocument/2006/relationships/hyperlink" Target="https://eur-lex.europa.eu/legal-content/LV/TXT/?uri=uriserv%3AOJ.L_.2022.093.01.0001.01.LAV&amp;toc=OJ%3AL%3A2022%3A093%3ATOC" TargetMode="External"/><Relationship Id="rId21" Type="http://schemas.openxmlformats.org/officeDocument/2006/relationships/hyperlink" Target="https://eur-lex.europa.eu/legal-content/LV/TXT/?uri=uriserv%3AOJ.L_.2022.041.01.0033.01.LAV&amp;toc=OJ%3AL%3A2022%3A041%3ATOC" TargetMode="External"/><Relationship Id="rId34" Type="http://schemas.openxmlformats.org/officeDocument/2006/relationships/hyperlink" Target="https://eur-lex.europa.eu/legal-content/LV/TXT/?uri=uriserv%3AOJ.L_.2022.085.01.0004.01.LAV&amp;toc=OJ%3AL%3A2022%3A085%3AT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ur-lex.europa.eu/legal-content/LV/TXT/?uri=uriserv%3AOJ.L_.2022.001.01.0003.01.LAV&amp;toc=OJ%3AL%3A2022%3A001%3AT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LV/TXT/?uri=uriserv%3AOJ.L_.2022.031.01.0027.01.LAV&amp;toc=OJ%3AL%3A2022%3A031%3ATOC" TargetMode="External"/><Relationship Id="rId20" Type="http://schemas.openxmlformats.org/officeDocument/2006/relationships/hyperlink" Target="https://eur-lex.europa.eu/legal-content/LV/TXT/?uri=uriserv%3AOJ.L_.2022.041.01.0011.01.LAV&amp;toc=OJ%3AL%3A2022%3A041%3ATOC" TargetMode="External"/><Relationship Id="rId29" Type="http://schemas.openxmlformats.org/officeDocument/2006/relationships/hyperlink" Target="https://eur-lex.europa.eu/legal-content/LV/TXT/?uri=uriserv%3AOJ.L_.2022.057.01.0001.01.LAV&amp;toc=OJ%3AL%3A2022%3A057%3ATOC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LV/TXT/?uri=uriserv%3AOJ.L_.2022.019.01.0084.01.LAV&amp;toc=OJ%3AL%3A2022%3A019%3ATOC" TargetMode="External"/><Relationship Id="rId24" Type="http://schemas.openxmlformats.org/officeDocument/2006/relationships/hyperlink" Target="https://eur-lex.europa.eu/legal-content/LV/TXT/?uri=uriserv%3AOJ.LI.2022.042.01.0109.01.LAV&amp;toc=OJ%3AL%3A2022%3A042I%3ATOC" TargetMode="External"/><Relationship Id="rId32" Type="http://schemas.openxmlformats.org/officeDocument/2006/relationships/hyperlink" Target="https://eur-lex.europa.eu/legal-content/LV/TXT/?uri=uriserv%3AOJ.L_.2022.078.01.0038.01.LAV&amp;toc=OJ%3AL%3A2022%3A078%3ATOC" TargetMode="External"/><Relationship Id="rId37" Type="http://schemas.openxmlformats.org/officeDocument/2006/relationships/hyperlink" Target="https://eur-lex.europa.eu/legal-content/LV/TXT/?uri=uriserv%3AOJ.L_.2022.087.01.0020.01.LAV&amp;toc=OJ%3AL%3A2022%3A087%3ATOC" TargetMode="External"/><Relationship Id="rId40" Type="http://schemas.openxmlformats.org/officeDocument/2006/relationships/hyperlink" Target="https://eur-lex.europa.eu/legal-content/LV/TXT/?uri=uriserv%3AOJ.L_.2022.093.01.0146.01.LAV&amp;toc=OJ%3AL%3A2022%3A093%3AT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LV/TXT/?uri=uriserv%3AOJ.L_.2022.030.01.0003.01.LAV&amp;toc=OJ%3AL%3A2022%3A030%3ATOC" TargetMode="External"/><Relationship Id="rId23" Type="http://schemas.openxmlformats.org/officeDocument/2006/relationships/hyperlink" Target="https://eur-lex.europa.eu/legal-content/LV/TXT/PDF/?uri=CELEX:32022R0263&amp;from=LV" TargetMode="External"/><Relationship Id="rId28" Type="http://schemas.openxmlformats.org/officeDocument/2006/relationships/hyperlink" Target="https://eur-lex.europa.eu/legal-content/LV/TXT/?uri=uriserv%3AOJ.L_.2022.055.01.0054.01.LAV&amp;toc=OJ%3AL%3A2022%3A055%3ATOC" TargetMode="External"/><Relationship Id="rId36" Type="http://schemas.openxmlformats.org/officeDocument/2006/relationships/hyperlink" Target="https://eur-lex.europa.eu/legal-content/LV/TXT/?uri=uriserv%3AOJ.L_.2022.087.01.0001.01.LAV&amp;toc=OJ%3AL%3A2022%3A087%3ATOC" TargetMode="External"/><Relationship Id="rId10" Type="http://schemas.openxmlformats.org/officeDocument/2006/relationships/hyperlink" Target="https://eur-lex.europa.eu/legal-content/LV/TXT/?uri=uriserv%3AOJ.L_.2022.017.01.0001.01.LAV&amp;toc=OJ%3AL%3A2022%3A017%3ATOC" TargetMode="External"/><Relationship Id="rId19" Type="http://schemas.openxmlformats.org/officeDocument/2006/relationships/hyperlink" Target="https://eur-lex.europa.eu/legal-content/LV/TXT/?uri=uriserv%3AOJ.L_.2022.037.01.0052.01.LAV&amp;toc=OJ%3AL%3A2022%3A037%3ATOC" TargetMode="External"/><Relationship Id="rId31" Type="http://schemas.openxmlformats.org/officeDocument/2006/relationships/hyperlink" Target="https://eur-lex.europa.eu/legal-content/LV/TXT/?uri=uriserv%3AOJ.L_.2022.069.01.0001.01.LAV&amp;toc=OJ%3AL%3A2022%3A069%3AT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LV/TXT/?uri=uriserv%3AOJ.L_.2022.013.01.0051.01.LAV&amp;toc=OJ%3AL%3A2022%3A013%3ATOC" TargetMode="External"/><Relationship Id="rId14" Type="http://schemas.openxmlformats.org/officeDocument/2006/relationships/hyperlink" Target="https://eur-lex.europa.eu/legal-content/LV/TXT/?uri=uriserv%3AOJ.L_.2022.027.01.0001.01.LAV&amp;toc=OJ%3AL%3A2022%3A027%3ATOC" TargetMode="External"/><Relationship Id="rId22" Type="http://schemas.openxmlformats.org/officeDocument/2006/relationships/hyperlink" Target="https://eur-lex.europa.eu/legal-content/LV/TXT/?uri=uriserv%3AOJ.L_.2022.042.01.0001.01.LAV&amp;toc=OJ%3AL%3A2022%3A042%3ATOC" TargetMode="External"/><Relationship Id="rId27" Type="http://schemas.openxmlformats.org/officeDocument/2006/relationships/hyperlink" Target="https://eur-lex.europa.eu/legal-content/LV/TXT/?uri=uriserv%3AOJ.L_.2022.055.01.0001.01.LAV&amp;toc=OJ%3AL%3A2022%3A055%3ATOC" TargetMode="External"/><Relationship Id="rId30" Type="http://schemas.openxmlformats.org/officeDocument/2006/relationships/hyperlink" Target="https://eur-lex.europa.eu/legal-content/LV/TXT/?uri=uriserv%3AOJ.L_.2022.062.01.0012.01.LAV&amp;toc=OJ%3AL%3A2022%3A062%3ATOC" TargetMode="External"/><Relationship Id="rId35" Type="http://schemas.openxmlformats.org/officeDocument/2006/relationships/hyperlink" Target="https://eur-lex.europa.eu/legal-content/LV/TXT/?uri=uriserv%3AOJ.L_.2022.085.01.0119.01.LAV&amp;toc=OJ%3AL%3A2022%3A085%3ATOC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ur-lex.europa.eu/legal-content/LV/TXT/?uri=uriserv%3AOJ.L_.2022.007.01.0006.01.LAV&amp;toc=OJ%3AL%3A2022%3A007%3AT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-lex.europa.eu/legal-content/LV/TXT/?uri=uriserv%3AOJ.L_.2022.020.01.0038.01.LAV&amp;toc=OJ%3AL%3A2022%3A020%3ATOC" TargetMode="External"/><Relationship Id="rId17" Type="http://schemas.openxmlformats.org/officeDocument/2006/relationships/hyperlink" Target="https://eur-lex.europa.eu/legal-content/LV/TXT/?uri=uriserv%3AOJ.L_.2022.033.01.0046.01.LAV&amp;toc=OJ%3AL%3A2022%3A033%3ATOC" TargetMode="External"/><Relationship Id="rId25" Type="http://schemas.openxmlformats.org/officeDocument/2006/relationships/hyperlink" Target="https://eur-lex.europa.eu/legal-content/LV/TXT/?uri=uriserv%3AOJ.L_.2022.046.01.0125.01.LAV&amp;toc=OJ%3AL%3A2022%3A046%3ATOC" TargetMode="External"/><Relationship Id="rId33" Type="http://schemas.openxmlformats.org/officeDocument/2006/relationships/hyperlink" Target="https://eur-lex.europa.eu/legal-content/LV/TXT/?uri=uriserv%3AOJ.L_.2022.084.01.0020.01.LAV&amp;toc=OJ%3AL%3A2022%3A084%3ATOC" TargetMode="External"/><Relationship Id="rId38" Type="http://schemas.openxmlformats.org/officeDocument/2006/relationships/hyperlink" Target="https://eur-lex.europa.eu/legal-content/LV/TXT/?uri=uriserv%3AOJ.L_.2022.092.01.0098.01.LAV&amp;toc=OJ%3AL%3A2022%3A092%3A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9ED36C-4E59-1841-A531-CA6D6B00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14019</Words>
  <Characters>7991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Šimiņa-Neverovska</dc:creator>
  <cp:keywords/>
  <dc:description/>
  <cp:lastModifiedBy>Sindija Armanoviča</cp:lastModifiedBy>
  <cp:revision>2</cp:revision>
  <dcterms:created xsi:type="dcterms:W3CDTF">2022-04-05T11:19:00Z</dcterms:created>
  <dcterms:modified xsi:type="dcterms:W3CDTF">2022-04-05T11:19:00Z</dcterms:modified>
</cp:coreProperties>
</file>